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E81C9" w14:textId="1FD17B44" w:rsidR="008E7402" w:rsidRPr="00965086" w:rsidRDefault="005104EC" w:rsidP="003C7AC8">
      <w:pPr>
        <w:pStyle w:val="Title"/>
        <w:jc w:val="center"/>
      </w:pPr>
      <w:r w:rsidRPr="00965086">
        <w:t>DMDU checklist</w:t>
      </w:r>
      <w:r w:rsidR="00466558" w:rsidRPr="00965086">
        <w:t xml:space="preserve"> committee</w:t>
      </w:r>
    </w:p>
    <w:p w14:paraId="7E94BA54" w14:textId="5792E277" w:rsidR="00ED18A1" w:rsidRPr="00965086" w:rsidRDefault="00ED18A1" w:rsidP="00ED18A1">
      <w:pPr>
        <w:rPr>
          <w:lang w:val="en-US"/>
        </w:rPr>
      </w:pPr>
    </w:p>
    <w:p w14:paraId="577E8521" w14:textId="77777777" w:rsidR="00466558" w:rsidRPr="00965086" w:rsidRDefault="00466558" w:rsidP="00466558">
      <w:pPr>
        <w:pStyle w:val="Heading1"/>
      </w:pPr>
      <w:r w:rsidRPr="00965086">
        <w:t>Context</w:t>
      </w:r>
    </w:p>
    <w:p w14:paraId="2BC61D81" w14:textId="77777777" w:rsidR="00466558" w:rsidRPr="00965086" w:rsidRDefault="00466558" w:rsidP="00466558">
      <w:pPr>
        <w:rPr>
          <w:b/>
        </w:rPr>
      </w:pPr>
    </w:p>
    <w:p w14:paraId="6A66A185" w14:textId="19A09AC2" w:rsidR="00466558" w:rsidRPr="00965086" w:rsidRDefault="00466558" w:rsidP="00466558">
      <w:pPr>
        <w:pStyle w:val="Normal0"/>
        <w:rPr>
          <w:rFonts w:cstheme="minorHAnsi"/>
          <w:bCs/>
        </w:rPr>
      </w:pPr>
      <w:r w:rsidRPr="00965086">
        <w:rPr>
          <w:rFonts w:cstheme="minorHAnsi"/>
          <w:bCs/>
        </w:rPr>
        <w:t xml:space="preserve">Many institutions (government or industry-related) worldwide are increasingly seeking guidance on how to build more robustness and resilience </w:t>
      </w:r>
      <w:r w:rsidR="007A4150" w:rsidRPr="00965086">
        <w:rPr>
          <w:rFonts w:cstheme="minorHAnsi"/>
          <w:bCs/>
        </w:rPr>
        <w:t>in</w:t>
      </w:r>
      <w:r w:rsidRPr="00965086">
        <w:rPr>
          <w:rFonts w:cstheme="minorHAnsi"/>
          <w:bCs/>
        </w:rPr>
        <w:t>to investments and planning</w:t>
      </w:r>
      <w:r w:rsidR="00C27745" w:rsidRPr="00965086">
        <w:rPr>
          <w:rFonts w:cstheme="minorHAnsi"/>
          <w:bCs/>
        </w:rPr>
        <w:t xml:space="preserve"> under changing risk conditions</w:t>
      </w:r>
      <w:r w:rsidR="007A4150" w:rsidRPr="00965086">
        <w:rPr>
          <w:rFonts w:cstheme="minorHAnsi"/>
          <w:bCs/>
        </w:rPr>
        <w:t xml:space="preserve"> and uncertainty</w:t>
      </w:r>
      <w:r w:rsidRPr="00965086">
        <w:rPr>
          <w:rFonts w:cstheme="minorHAnsi"/>
          <w:bCs/>
        </w:rPr>
        <w:t xml:space="preserve">. </w:t>
      </w:r>
      <w:r w:rsidR="00943D78" w:rsidRPr="00965086">
        <w:rPr>
          <w:rFonts w:cstheme="minorHAnsi"/>
          <w:bCs/>
        </w:rPr>
        <w:t>There are a growing number of major guidance documents that draw on</w:t>
      </w:r>
      <w:r w:rsidRPr="00965086">
        <w:rPr>
          <w:rFonts w:cstheme="minorHAnsi"/>
          <w:bCs/>
        </w:rPr>
        <w:t xml:space="preserve"> </w:t>
      </w:r>
      <w:r w:rsidR="00943D78" w:rsidRPr="00965086">
        <w:rPr>
          <w:rFonts w:cstheme="minorHAnsi"/>
          <w:bCs/>
        </w:rPr>
        <w:t>Decision Making under Deep Uncertainty (</w:t>
      </w:r>
      <w:r w:rsidRPr="00965086">
        <w:rPr>
          <w:rFonts w:cstheme="minorHAnsi"/>
          <w:bCs/>
        </w:rPr>
        <w:t>DMDU</w:t>
      </w:r>
      <w:r w:rsidR="00943D78" w:rsidRPr="00965086">
        <w:rPr>
          <w:rFonts w:cstheme="minorHAnsi"/>
          <w:bCs/>
        </w:rPr>
        <w:t>)</w:t>
      </w:r>
      <w:r w:rsidRPr="00965086">
        <w:rPr>
          <w:rFonts w:cstheme="minorHAnsi"/>
          <w:bCs/>
        </w:rPr>
        <w:t xml:space="preserve"> </w:t>
      </w:r>
      <w:r w:rsidR="00943D78" w:rsidRPr="00965086">
        <w:rPr>
          <w:rFonts w:cstheme="minorHAnsi"/>
          <w:bCs/>
        </w:rPr>
        <w:t>principles</w:t>
      </w:r>
      <w:r w:rsidR="002A2B5E" w:rsidRPr="00965086">
        <w:rPr>
          <w:rFonts w:cstheme="minorHAnsi"/>
          <w:bCs/>
        </w:rPr>
        <w:t>,</w:t>
      </w:r>
      <w:r w:rsidRPr="00965086">
        <w:rPr>
          <w:rFonts w:cstheme="minorHAnsi"/>
          <w:bCs/>
        </w:rPr>
        <w:t xml:space="preserve"> such as the New Zealand </w:t>
      </w:r>
      <w:r w:rsidR="00C27745" w:rsidRPr="00965086">
        <w:rPr>
          <w:rFonts w:cstheme="minorHAnsi"/>
          <w:bCs/>
        </w:rPr>
        <w:t xml:space="preserve">Coastal Hazards and Climate Change </w:t>
      </w:r>
      <w:r w:rsidRPr="00965086">
        <w:rPr>
          <w:rFonts w:cstheme="minorHAnsi"/>
          <w:bCs/>
        </w:rPr>
        <w:t>Guidance</w:t>
      </w:r>
      <w:r w:rsidR="0012708E" w:rsidRPr="00965086">
        <w:rPr>
          <w:rStyle w:val="FootnoteReference"/>
          <w:rFonts w:cstheme="minorHAnsi"/>
          <w:bCs/>
        </w:rPr>
        <w:footnoteReference w:id="1"/>
      </w:r>
      <w:r w:rsidRPr="00965086">
        <w:rPr>
          <w:rFonts w:cstheme="minorHAnsi"/>
          <w:bCs/>
        </w:rPr>
        <w:t>, the State of California guidance for Safe Infrastructure</w:t>
      </w:r>
      <w:r w:rsidR="006F5898" w:rsidRPr="00965086">
        <w:rPr>
          <w:rStyle w:val="FootnoteReference"/>
          <w:rFonts w:cstheme="minorHAnsi"/>
          <w:bCs/>
        </w:rPr>
        <w:footnoteReference w:id="2"/>
      </w:r>
      <w:r w:rsidR="002A2B5E" w:rsidRPr="00965086">
        <w:rPr>
          <w:rFonts w:cstheme="minorHAnsi"/>
          <w:bCs/>
        </w:rPr>
        <w:t>, and</w:t>
      </w:r>
      <w:r w:rsidRPr="00965086">
        <w:rPr>
          <w:rFonts w:cstheme="minorHAnsi"/>
          <w:bCs/>
        </w:rPr>
        <w:t xml:space="preserve"> the work done by the International </w:t>
      </w:r>
      <w:r w:rsidR="00077F2E" w:rsidRPr="00965086">
        <w:rPr>
          <w:rFonts w:cstheme="minorHAnsi"/>
          <w:bCs/>
        </w:rPr>
        <w:t>Hydrop</w:t>
      </w:r>
      <w:r w:rsidRPr="00965086">
        <w:rPr>
          <w:rFonts w:cstheme="minorHAnsi"/>
          <w:bCs/>
        </w:rPr>
        <w:t>ower Association and the American Society of Civil Engineers</w:t>
      </w:r>
      <w:r w:rsidR="00884A8C" w:rsidRPr="00965086">
        <w:rPr>
          <w:rStyle w:val="FootnoteReference"/>
          <w:rFonts w:cstheme="minorHAnsi"/>
          <w:bCs/>
        </w:rPr>
        <w:footnoteReference w:id="3"/>
      </w:r>
      <w:r w:rsidR="00C27745" w:rsidRPr="00965086">
        <w:rPr>
          <w:rFonts w:cstheme="minorHAnsi"/>
          <w:bCs/>
        </w:rPr>
        <w:t xml:space="preserve"> </w:t>
      </w:r>
      <w:r w:rsidR="004E6FCC" w:rsidRPr="00965086">
        <w:rPr>
          <w:rFonts w:cstheme="minorHAnsi"/>
          <w:bCs/>
        </w:rPr>
        <w:t xml:space="preserve">on how to incorporate non-stationary climate conditions in the design of </w:t>
      </w:r>
      <w:r w:rsidR="0085358C" w:rsidRPr="00965086">
        <w:rPr>
          <w:rFonts w:cstheme="minorHAnsi"/>
          <w:bCs/>
        </w:rPr>
        <w:t>hydropower</w:t>
      </w:r>
      <w:r w:rsidR="004E6FCC" w:rsidRPr="00965086">
        <w:rPr>
          <w:rFonts w:cstheme="minorHAnsi"/>
          <w:bCs/>
        </w:rPr>
        <w:t xml:space="preserve"> dams</w:t>
      </w:r>
      <w:r w:rsidRPr="00965086">
        <w:rPr>
          <w:rFonts w:cstheme="minorHAnsi"/>
          <w:bCs/>
        </w:rPr>
        <w:t xml:space="preserve">. </w:t>
      </w:r>
      <w:r w:rsidR="00DD111D" w:rsidRPr="00965086">
        <w:rPr>
          <w:rFonts w:cstheme="minorHAnsi"/>
          <w:bCs/>
        </w:rPr>
        <w:t xml:space="preserve">All </w:t>
      </w:r>
      <w:r w:rsidR="00943D78" w:rsidRPr="00965086">
        <w:rPr>
          <w:rFonts w:cstheme="minorHAnsi"/>
          <w:bCs/>
        </w:rPr>
        <w:t xml:space="preserve">of </w:t>
      </w:r>
      <w:r w:rsidR="00DD111D" w:rsidRPr="00965086">
        <w:rPr>
          <w:rFonts w:cstheme="minorHAnsi"/>
          <w:bCs/>
        </w:rPr>
        <w:t xml:space="preserve">these documents </w:t>
      </w:r>
      <w:r w:rsidR="00943D78" w:rsidRPr="00965086">
        <w:rPr>
          <w:rFonts w:cstheme="minorHAnsi"/>
          <w:bCs/>
        </w:rPr>
        <w:t>seek</w:t>
      </w:r>
      <w:r w:rsidRPr="00965086">
        <w:rPr>
          <w:rFonts w:cstheme="minorHAnsi"/>
          <w:bCs/>
        </w:rPr>
        <w:t xml:space="preserve"> </w:t>
      </w:r>
      <w:r w:rsidR="00C27745" w:rsidRPr="00965086">
        <w:rPr>
          <w:rFonts w:cstheme="minorHAnsi"/>
          <w:bCs/>
        </w:rPr>
        <w:t xml:space="preserve">to enable users </w:t>
      </w:r>
      <w:r w:rsidR="0094698D" w:rsidRPr="00965086">
        <w:rPr>
          <w:rFonts w:cstheme="minorHAnsi"/>
          <w:bCs/>
        </w:rPr>
        <w:t xml:space="preserve">to </w:t>
      </w:r>
      <w:r w:rsidR="00C27745" w:rsidRPr="00965086">
        <w:rPr>
          <w:rFonts w:cstheme="minorHAnsi"/>
          <w:bCs/>
        </w:rPr>
        <w:t>make decisions under conditions of uncertainty and change</w:t>
      </w:r>
      <w:r w:rsidR="00DE4AE1" w:rsidRPr="00965086">
        <w:rPr>
          <w:rFonts w:cstheme="minorHAnsi"/>
          <w:bCs/>
        </w:rPr>
        <w:t xml:space="preserve">, but </w:t>
      </w:r>
      <w:r w:rsidR="00E3192C" w:rsidRPr="00965086">
        <w:rPr>
          <w:rFonts w:cstheme="minorHAnsi"/>
          <w:bCs/>
        </w:rPr>
        <w:t>there is no generic document that</w:t>
      </w:r>
      <w:r w:rsidR="00FD66B9" w:rsidRPr="00965086">
        <w:rPr>
          <w:rFonts w:cstheme="minorHAnsi"/>
          <w:bCs/>
        </w:rPr>
        <w:t xml:space="preserve"> explicitly describe</w:t>
      </w:r>
      <w:r w:rsidR="00E3192C" w:rsidRPr="00965086">
        <w:rPr>
          <w:rFonts w:cstheme="minorHAnsi"/>
          <w:bCs/>
        </w:rPr>
        <w:t>s</w:t>
      </w:r>
      <w:r w:rsidR="00FD66B9" w:rsidRPr="00965086">
        <w:rPr>
          <w:rFonts w:cstheme="minorHAnsi"/>
          <w:bCs/>
        </w:rPr>
        <w:t xml:space="preserve"> the</w:t>
      </w:r>
      <w:r w:rsidR="00DE4AE1" w:rsidRPr="00965086">
        <w:rPr>
          <w:rFonts w:cstheme="minorHAnsi"/>
          <w:bCs/>
        </w:rPr>
        <w:t xml:space="preserve"> main </w:t>
      </w:r>
      <w:r w:rsidR="0094698D" w:rsidRPr="00965086">
        <w:rPr>
          <w:rFonts w:cstheme="minorHAnsi"/>
          <w:bCs/>
        </w:rPr>
        <w:t xml:space="preserve">steps that </w:t>
      </w:r>
      <w:r w:rsidR="00943D78" w:rsidRPr="00965086">
        <w:rPr>
          <w:rFonts w:cstheme="minorHAnsi"/>
          <w:bCs/>
        </w:rPr>
        <w:t xml:space="preserve">should </w:t>
      </w:r>
      <w:r w:rsidR="0094698D" w:rsidRPr="00965086">
        <w:rPr>
          <w:rFonts w:cstheme="minorHAnsi"/>
          <w:bCs/>
        </w:rPr>
        <w:t xml:space="preserve">be followed to properly </w:t>
      </w:r>
      <w:r w:rsidR="00FD66B9" w:rsidRPr="00965086">
        <w:rPr>
          <w:rFonts w:cstheme="minorHAnsi"/>
          <w:bCs/>
        </w:rPr>
        <w:t>apply DMDU methods</w:t>
      </w:r>
      <w:r w:rsidR="00E3192C" w:rsidRPr="00965086">
        <w:rPr>
          <w:rFonts w:cstheme="minorHAnsi"/>
          <w:bCs/>
        </w:rPr>
        <w:t xml:space="preserve"> to </w:t>
      </w:r>
      <w:r w:rsidR="00943D78" w:rsidRPr="00965086">
        <w:rPr>
          <w:rFonts w:cstheme="minorHAnsi"/>
          <w:bCs/>
        </w:rPr>
        <w:t xml:space="preserve">critically important </w:t>
      </w:r>
      <w:r w:rsidR="009022D2" w:rsidRPr="00965086">
        <w:rPr>
          <w:rFonts w:cstheme="minorHAnsi"/>
          <w:bCs/>
        </w:rPr>
        <w:t xml:space="preserve">policy or </w:t>
      </w:r>
      <w:r w:rsidR="00943D78" w:rsidRPr="00965086">
        <w:rPr>
          <w:rFonts w:cstheme="minorHAnsi"/>
          <w:bCs/>
        </w:rPr>
        <w:t>infrastructure decisions</w:t>
      </w:r>
      <w:r w:rsidR="00CB5D11" w:rsidRPr="00965086">
        <w:rPr>
          <w:rFonts w:cstheme="minorHAnsi"/>
          <w:bCs/>
        </w:rPr>
        <w:t xml:space="preserve">. </w:t>
      </w:r>
    </w:p>
    <w:p w14:paraId="58A38F4C" w14:textId="3D3543C5" w:rsidR="00466558" w:rsidRPr="00965086" w:rsidRDefault="00943D78" w:rsidP="00466558">
      <w:pPr>
        <w:rPr>
          <w:rFonts w:cstheme="minorHAnsi"/>
        </w:rPr>
      </w:pPr>
      <w:r w:rsidRPr="00965086">
        <w:rPr>
          <w:rFonts w:cstheme="minorHAnsi"/>
          <w:bCs/>
        </w:rPr>
        <w:t>The growing demand for structured</w:t>
      </w:r>
      <w:r w:rsidR="00B932D5" w:rsidRPr="00965086">
        <w:rPr>
          <w:rFonts w:cstheme="minorHAnsi"/>
          <w:bCs/>
        </w:rPr>
        <w:t xml:space="preserve"> guidance </w:t>
      </w:r>
      <w:r w:rsidRPr="00965086">
        <w:rPr>
          <w:rFonts w:cstheme="minorHAnsi"/>
          <w:bCs/>
        </w:rPr>
        <w:t xml:space="preserve">poses </w:t>
      </w:r>
      <w:r w:rsidR="00466558" w:rsidRPr="00965086">
        <w:rPr>
          <w:rFonts w:cstheme="minorHAnsi"/>
          <w:bCs/>
        </w:rPr>
        <w:t xml:space="preserve">an opportunity for the DMDU Society to </w:t>
      </w:r>
      <w:r w:rsidR="00B75A87" w:rsidRPr="00965086">
        <w:rPr>
          <w:rFonts w:cstheme="minorHAnsi"/>
          <w:bCs/>
        </w:rPr>
        <w:t>make</w:t>
      </w:r>
      <w:r w:rsidR="00466558" w:rsidRPr="00965086">
        <w:rPr>
          <w:rFonts w:cstheme="minorHAnsi"/>
          <w:bCs/>
        </w:rPr>
        <w:t xml:space="preserve"> </w:t>
      </w:r>
      <w:r w:rsidR="007A4150" w:rsidRPr="00965086">
        <w:rPr>
          <w:rFonts w:cstheme="minorHAnsi"/>
          <w:bCs/>
        </w:rPr>
        <w:t xml:space="preserve">its </w:t>
      </w:r>
      <w:r w:rsidR="00466558" w:rsidRPr="00965086">
        <w:rPr>
          <w:rFonts w:cstheme="minorHAnsi"/>
          <w:bCs/>
        </w:rPr>
        <w:t>mark explicitly and to influence others</w:t>
      </w:r>
      <w:r w:rsidR="00B75A87" w:rsidRPr="00965086">
        <w:rPr>
          <w:rFonts w:cstheme="minorHAnsi"/>
          <w:bCs/>
        </w:rPr>
        <w:t>,</w:t>
      </w:r>
      <w:r w:rsidR="00466558" w:rsidRPr="00965086">
        <w:rPr>
          <w:rFonts w:cstheme="minorHAnsi"/>
          <w:bCs/>
        </w:rPr>
        <w:t xml:space="preserve"> as the</w:t>
      </w:r>
      <w:r w:rsidR="00F57570" w:rsidRPr="00965086">
        <w:rPr>
          <w:rFonts w:cstheme="minorHAnsi"/>
          <w:bCs/>
        </w:rPr>
        <w:t xml:space="preserve"> guidance and</w:t>
      </w:r>
      <w:r w:rsidR="00466558" w:rsidRPr="00965086">
        <w:rPr>
          <w:rFonts w:cstheme="minorHAnsi"/>
          <w:bCs/>
        </w:rPr>
        <w:t xml:space="preserve"> system</w:t>
      </w:r>
      <w:r w:rsidR="009B7A75" w:rsidRPr="00965086">
        <w:rPr>
          <w:rFonts w:cstheme="minorHAnsi"/>
          <w:bCs/>
        </w:rPr>
        <w:t>s that are being created</w:t>
      </w:r>
      <w:r w:rsidR="00F57570" w:rsidRPr="00965086">
        <w:rPr>
          <w:rFonts w:cstheme="minorHAnsi"/>
          <w:bCs/>
        </w:rPr>
        <w:t xml:space="preserve"> now to guide investments</w:t>
      </w:r>
      <w:r w:rsidR="009B7A75" w:rsidRPr="00965086">
        <w:rPr>
          <w:rFonts w:cstheme="minorHAnsi"/>
          <w:bCs/>
        </w:rPr>
        <w:t xml:space="preserve"> </w:t>
      </w:r>
      <w:r w:rsidR="00466558" w:rsidRPr="00965086">
        <w:rPr>
          <w:rFonts w:cstheme="minorHAnsi"/>
          <w:bCs/>
        </w:rPr>
        <w:t xml:space="preserve">will help create </w:t>
      </w:r>
      <w:r w:rsidR="00B75A87" w:rsidRPr="00965086">
        <w:rPr>
          <w:rFonts w:cstheme="minorHAnsi"/>
          <w:bCs/>
        </w:rPr>
        <w:t xml:space="preserve">a </w:t>
      </w:r>
      <w:r w:rsidR="007A4150" w:rsidRPr="00965086">
        <w:rPr>
          <w:rFonts w:cstheme="minorHAnsi"/>
          <w:bCs/>
        </w:rPr>
        <w:t>needed shift in approach by</w:t>
      </w:r>
      <w:r w:rsidR="00466558" w:rsidRPr="00965086">
        <w:rPr>
          <w:rFonts w:cstheme="minorHAnsi"/>
          <w:bCs/>
        </w:rPr>
        <w:t xml:space="preserve"> private investors, public procurement, and project developers, with the aim of redirect</w:t>
      </w:r>
      <w:r w:rsidR="00B75A87" w:rsidRPr="00965086">
        <w:rPr>
          <w:rFonts w:cstheme="minorHAnsi"/>
          <w:bCs/>
        </w:rPr>
        <w:t>ing</w:t>
      </w:r>
      <w:r w:rsidR="00466558" w:rsidRPr="00965086">
        <w:rPr>
          <w:rFonts w:cstheme="minorHAnsi"/>
          <w:bCs/>
        </w:rPr>
        <w:t xml:space="preserve"> private and public </w:t>
      </w:r>
      <w:r w:rsidR="007A4150" w:rsidRPr="00965086">
        <w:rPr>
          <w:rFonts w:cstheme="minorHAnsi"/>
          <w:bCs/>
        </w:rPr>
        <w:t xml:space="preserve">decision making and </w:t>
      </w:r>
      <w:r w:rsidR="00466558" w:rsidRPr="00965086">
        <w:rPr>
          <w:rFonts w:cstheme="minorHAnsi"/>
          <w:bCs/>
        </w:rPr>
        <w:t xml:space="preserve">investments toward more resilient </w:t>
      </w:r>
      <w:r w:rsidR="007A4150" w:rsidRPr="00965086">
        <w:rPr>
          <w:rFonts w:cstheme="minorHAnsi"/>
          <w:bCs/>
        </w:rPr>
        <w:t xml:space="preserve">decisions and </w:t>
      </w:r>
      <w:r w:rsidR="00466558" w:rsidRPr="00965086">
        <w:rPr>
          <w:rFonts w:cstheme="minorHAnsi"/>
          <w:bCs/>
        </w:rPr>
        <w:t>projects.</w:t>
      </w:r>
    </w:p>
    <w:p w14:paraId="318EB14E" w14:textId="77777777" w:rsidR="00466558" w:rsidRPr="00965086" w:rsidRDefault="00466558" w:rsidP="00466558">
      <w:pPr>
        <w:pStyle w:val="Heading1"/>
        <w:rPr>
          <w:rFonts w:eastAsia="Calibri"/>
        </w:rPr>
      </w:pPr>
      <w:r w:rsidRPr="00965086">
        <w:rPr>
          <w:rFonts w:eastAsia="Calibri"/>
        </w:rPr>
        <w:t>Objectives</w:t>
      </w:r>
    </w:p>
    <w:p w14:paraId="4A34BB60" w14:textId="11760EEA" w:rsidR="00466558" w:rsidRPr="00965086" w:rsidRDefault="00466558" w:rsidP="00466558">
      <w:pPr>
        <w:spacing w:before="240" w:after="240"/>
      </w:pPr>
      <w:r w:rsidRPr="00965086">
        <w:rPr>
          <w:rFonts w:eastAsia="Calibri"/>
          <w:bCs/>
          <w:color w:val="000000"/>
          <w:szCs w:val="24"/>
        </w:rPr>
        <w:t xml:space="preserve">The objective of this DMDU checklist committee is to provide guidance on the basic elements of the process and analyses that need to be followed </w:t>
      </w:r>
      <w:r w:rsidR="00F57570" w:rsidRPr="00965086">
        <w:rPr>
          <w:rFonts w:eastAsia="Calibri"/>
          <w:bCs/>
          <w:color w:val="000000"/>
          <w:szCs w:val="24"/>
        </w:rPr>
        <w:t>while making an investment or planning decision</w:t>
      </w:r>
      <w:r w:rsidRPr="00965086">
        <w:rPr>
          <w:rFonts w:eastAsia="Calibri"/>
          <w:bCs/>
          <w:color w:val="000000"/>
          <w:szCs w:val="24"/>
        </w:rPr>
        <w:t xml:space="preserve"> in order to claim that </w:t>
      </w:r>
      <w:r w:rsidR="00036BD9" w:rsidRPr="00965086">
        <w:rPr>
          <w:rFonts w:eastAsia="Calibri"/>
          <w:bCs/>
          <w:color w:val="000000"/>
          <w:szCs w:val="24"/>
        </w:rPr>
        <w:t>future risks have been properly considered</w:t>
      </w:r>
      <w:r w:rsidRPr="00965086">
        <w:rPr>
          <w:rFonts w:eastAsia="Calibri"/>
          <w:bCs/>
          <w:color w:val="000000"/>
          <w:szCs w:val="24"/>
        </w:rPr>
        <w:t>.</w:t>
      </w:r>
      <w:r w:rsidRPr="00965086">
        <w:rPr>
          <w:rFonts w:eastAsia="Calibri"/>
          <w:color w:val="000000"/>
          <w:szCs w:val="24"/>
        </w:rPr>
        <w:t xml:space="preserve"> </w:t>
      </w:r>
      <w:r w:rsidR="00AC1A0C" w:rsidRPr="00965086">
        <w:t xml:space="preserve">The checklist also provides a list of “frequently made mistakes” to be avoided during </w:t>
      </w:r>
      <w:r w:rsidR="00FD3881" w:rsidRPr="00965086">
        <w:t>the process leading to a decision</w:t>
      </w:r>
      <w:r w:rsidR="00AC1A0C" w:rsidRPr="00965086">
        <w:t>.</w:t>
      </w:r>
    </w:p>
    <w:p w14:paraId="7926E4F8" w14:textId="3398FB4C" w:rsidR="00FD3881" w:rsidRPr="00965086" w:rsidRDefault="00FD3881" w:rsidP="00466558">
      <w:pPr>
        <w:spacing w:before="240" w:after="240"/>
      </w:pPr>
      <w:r w:rsidRPr="00965086">
        <w:t xml:space="preserve">Importantly, following the checklist does not guarantee that the decision will lead </w:t>
      </w:r>
      <w:r w:rsidR="0030064A" w:rsidRPr="00965086">
        <w:t>to a resilient plan or project</w:t>
      </w:r>
      <w:r w:rsidR="00C7655A" w:rsidRPr="00965086">
        <w:t>, but it</w:t>
      </w:r>
      <w:r w:rsidR="008058E4" w:rsidRPr="00965086">
        <w:t xml:space="preserve"> helps to</w:t>
      </w:r>
      <w:r w:rsidR="00C7655A" w:rsidRPr="00965086">
        <w:t xml:space="preserve"> guarantee that decision makers will have the best available information </w:t>
      </w:r>
      <w:r w:rsidR="0021423F" w:rsidRPr="00965086">
        <w:t>on the possible future outcomes of the decision</w:t>
      </w:r>
      <w:r w:rsidR="007A4150" w:rsidRPr="00965086">
        <w:t xml:space="preserve"> in a changing world where change and surprise is endemic</w:t>
      </w:r>
      <w:r w:rsidR="0021423F" w:rsidRPr="00965086">
        <w:t>.</w:t>
      </w:r>
      <w:r w:rsidR="007853FA" w:rsidRPr="00965086">
        <w:t xml:space="preserve"> For example, </w:t>
      </w:r>
      <w:r w:rsidR="007A4150" w:rsidRPr="00965086">
        <w:t>the consequences of</w:t>
      </w:r>
      <w:r w:rsidR="007705F8" w:rsidRPr="00965086">
        <w:t xml:space="preserve"> risks </w:t>
      </w:r>
      <w:r w:rsidR="007A4150" w:rsidRPr="00965086">
        <w:t xml:space="preserve">from </w:t>
      </w:r>
      <w:r w:rsidR="00543892" w:rsidRPr="00965086">
        <w:t xml:space="preserve">failure </w:t>
      </w:r>
      <w:r w:rsidR="007705F8" w:rsidRPr="00965086">
        <w:t xml:space="preserve">would </w:t>
      </w:r>
      <w:r w:rsidR="007A4150" w:rsidRPr="00965086">
        <w:t xml:space="preserve">have been considered </w:t>
      </w:r>
      <w:r w:rsidR="007705F8" w:rsidRPr="00965086">
        <w:t>transparent</w:t>
      </w:r>
      <w:r w:rsidR="00DB652D" w:rsidRPr="00965086">
        <w:t xml:space="preserve">ly </w:t>
      </w:r>
      <w:r w:rsidR="007A4150" w:rsidRPr="00965086">
        <w:t>for</w:t>
      </w:r>
      <w:r w:rsidR="00DB652D" w:rsidRPr="00965086">
        <w:t xml:space="preserve"> all</w:t>
      </w:r>
      <w:r w:rsidR="006231DD" w:rsidRPr="00965086">
        <w:t xml:space="preserve"> stakeholders</w:t>
      </w:r>
      <w:r w:rsidR="007A4150" w:rsidRPr="00965086">
        <w:t>, even if choices are taken that do not result in resilient and robust decisions</w:t>
      </w:r>
      <w:r w:rsidR="00A85B21" w:rsidRPr="00965086">
        <w:t>.</w:t>
      </w:r>
      <w:r w:rsidR="00A21649" w:rsidRPr="00965086">
        <w:t xml:space="preserve"> This objective</w:t>
      </w:r>
      <w:r w:rsidR="003F162D" w:rsidRPr="00965086">
        <w:t xml:space="preserve"> – no guarantee of good outcomes but a guarantee that decisions makers have used the best available information and process – is the best one </w:t>
      </w:r>
      <w:r w:rsidR="006419FD" w:rsidRPr="00965086">
        <w:t>can expect.</w:t>
      </w:r>
    </w:p>
    <w:p w14:paraId="1C467493" w14:textId="61732E5F" w:rsidR="003C7AC8" w:rsidRPr="00965086" w:rsidRDefault="00297401" w:rsidP="007C04CD">
      <w:pPr>
        <w:pStyle w:val="Heading1"/>
      </w:pPr>
      <w:r w:rsidRPr="00965086">
        <w:lastRenderedPageBreak/>
        <w:t>Process</w:t>
      </w:r>
    </w:p>
    <w:p w14:paraId="1A00F3C5" w14:textId="0875BAD6" w:rsidR="00FE775C" w:rsidRPr="00965086" w:rsidRDefault="00DC7691" w:rsidP="00297401">
      <w:r w:rsidRPr="00965086">
        <w:t>This document was prepared by a team of DMDU experts</w:t>
      </w:r>
      <w:r w:rsidR="00FE775C" w:rsidRPr="00965086">
        <w:t xml:space="preserve"> composed of</w:t>
      </w:r>
      <w:r w:rsidR="00A36C68" w:rsidRPr="00965086">
        <w:t xml:space="preserve"> </w:t>
      </w:r>
      <w:r w:rsidR="008D0FA7" w:rsidRPr="00965086">
        <w:t>Geoff</w:t>
      </w:r>
      <w:r w:rsidR="00AC74E2">
        <w:t xml:space="preserve"> </w:t>
      </w:r>
      <w:r w:rsidR="00AC74E2" w:rsidRPr="00965086">
        <w:t>Darch</w:t>
      </w:r>
      <w:bookmarkStart w:id="0" w:name="_GoBack"/>
      <w:bookmarkEnd w:id="0"/>
      <w:r w:rsidR="008D0FA7" w:rsidRPr="00965086">
        <w:t xml:space="preserve">, </w:t>
      </w:r>
      <w:r w:rsidR="003A022B" w:rsidRPr="00965086">
        <w:t>Alex Harvey, Judy Lawrence,</w:t>
      </w:r>
      <w:r w:rsidR="008D0FA7" w:rsidRPr="00965086">
        <w:t xml:space="preserve"> Pedro Lima and Julie Rozenberg</w:t>
      </w:r>
      <w:r w:rsidR="003A022B" w:rsidRPr="00965086">
        <w:t xml:space="preserve"> </w:t>
      </w:r>
      <w:r w:rsidR="00A36C68" w:rsidRPr="00965086">
        <w:t>and</w:t>
      </w:r>
      <w:r w:rsidR="008D0FA7" w:rsidRPr="00965086">
        <w:t xml:space="preserve"> was</w:t>
      </w:r>
      <w:r w:rsidR="00A36C68" w:rsidRPr="00965086">
        <w:t xml:space="preserve"> peer reviewed</w:t>
      </w:r>
      <w:r w:rsidR="00FE775C" w:rsidRPr="00965086">
        <w:t xml:space="preserve"> by</w:t>
      </w:r>
      <w:r w:rsidR="00EE4B40" w:rsidRPr="00965086">
        <w:t xml:space="preserve"> </w:t>
      </w:r>
      <w:r w:rsidR="008D0FA7" w:rsidRPr="00965086">
        <w:t>Nidhi Kalra, Robert Lempert</w:t>
      </w:r>
      <w:r w:rsidR="00E5645C" w:rsidRPr="00965086">
        <w:t xml:space="preserve"> and Patrick Reed</w:t>
      </w:r>
      <w:r w:rsidR="00A36C68" w:rsidRPr="00965086">
        <w:t>.</w:t>
      </w:r>
    </w:p>
    <w:p w14:paraId="0C2D99BF" w14:textId="4953AD59" w:rsidR="00A36C68" w:rsidRPr="00965086" w:rsidRDefault="00A36C68" w:rsidP="00297401">
      <w:r w:rsidRPr="00965086">
        <w:t>The team is now expecting comments from all DMDU members interested in contributing.</w:t>
      </w:r>
    </w:p>
    <w:p w14:paraId="411A0F80" w14:textId="389FBF16" w:rsidR="003C7AC8" w:rsidRPr="00965086" w:rsidRDefault="00FB0AE0" w:rsidP="00297401">
      <w:r w:rsidRPr="00965086">
        <w:t>The checklist is a living document that will need to be updated as research advances in decision science and new methods are being tested and developed.</w:t>
      </w:r>
    </w:p>
    <w:p w14:paraId="65EB4D35" w14:textId="49C14C7C" w:rsidR="007C04CD" w:rsidRPr="00965086" w:rsidRDefault="007C04CD" w:rsidP="007C04CD">
      <w:pPr>
        <w:pStyle w:val="Heading1"/>
      </w:pPr>
      <w:r w:rsidRPr="00965086">
        <w:t>Checklist audience</w:t>
      </w:r>
    </w:p>
    <w:p w14:paraId="3B273E0F" w14:textId="79B7F764" w:rsidR="007C04CD" w:rsidRPr="00965086" w:rsidRDefault="004A12E6" w:rsidP="007C04CD">
      <w:pPr>
        <w:rPr>
          <w:b/>
        </w:rPr>
      </w:pPr>
      <w:r w:rsidRPr="00965086">
        <w:t>Many decisions made by decision makers across a wide range of interests face deep uncertainty about the future. The DMDU Society reflected those wide interests has developed the following DMDU</w:t>
      </w:r>
      <w:r w:rsidR="007C04CD" w:rsidRPr="00965086">
        <w:t xml:space="preserve"> checklist and associated guidance.  </w:t>
      </w:r>
      <w:r w:rsidRPr="00965086">
        <w:t xml:space="preserve">Table 1 sets out some of the functional areas, organisations and uses for which the checklist can be applied. </w:t>
      </w:r>
    </w:p>
    <w:tbl>
      <w:tblPr>
        <w:tblW w:w="946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260"/>
        <w:gridCol w:w="2977"/>
      </w:tblGrid>
      <w:tr w:rsidR="007C04CD" w:rsidRPr="00965086" w14:paraId="2E7F3594" w14:textId="77777777" w:rsidTr="002E2BFD">
        <w:trPr>
          <w:trHeight w:val="255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A462" w14:textId="77777777" w:rsidR="007C04CD" w:rsidRPr="00965086" w:rsidRDefault="007C04CD" w:rsidP="002E2BFD">
            <w:pPr>
              <w:rPr>
                <w:rFonts w:cs="Arial"/>
                <w:b/>
                <w:color w:val="FFFFFF"/>
              </w:rPr>
            </w:pPr>
            <w:r w:rsidRPr="00965086">
              <w:rPr>
                <w:rFonts w:cs="Arial"/>
                <w:b/>
                <w:color w:val="FFFFFF"/>
              </w:rPr>
              <w:t>Function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22C2" w14:textId="77777777" w:rsidR="007C04CD" w:rsidRPr="00965086" w:rsidRDefault="007C04CD" w:rsidP="002E2BFD">
            <w:pPr>
              <w:rPr>
                <w:rFonts w:cs="Arial"/>
                <w:b/>
                <w:color w:val="FFFFFF"/>
              </w:rPr>
            </w:pPr>
            <w:r w:rsidRPr="00965086">
              <w:rPr>
                <w:rFonts w:cs="Arial"/>
                <w:b/>
                <w:color w:val="FFFFFF"/>
              </w:rPr>
              <w:t>Organisations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14:paraId="3F7960B1" w14:textId="77777777" w:rsidR="007C04CD" w:rsidRPr="00965086" w:rsidRDefault="007C04CD" w:rsidP="002E2BFD">
            <w:pPr>
              <w:rPr>
                <w:rFonts w:cs="Arial"/>
                <w:b/>
                <w:color w:val="FFFFFF"/>
              </w:rPr>
            </w:pPr>
            <w:r w:rsidRPr="00965086">
              <w:rPr>
                <w:rFonts w:cs="Arial"/>
                <w:b/>
                <w:color w:val="FFFFFF"/>
              </w:rPr>
              <w:t>Potential checklist use</w:t>
            </w:r>
          </w:p>
        </w:tc>
      </w:tr>
      <w:tr w:rsidR="007C04CD" w:rsidRPr="00965086" w14:paraId="18EF8910" w14:textId="77777777" w:rsidTr="002E2BFD">
        <w:trPr>
          <w:trHeight w:val="2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28FC" w14:textId="699FE1A3" w:rsidR="007C04CD" w:rsidRPr="00965086" w:rsidRDefault="007C04CD" w:rsidP="002E2BFD">
            <w:r w:rsidRPr="00965086">
              <w:t>Policy development (e.g. adaptive strategies and options elicitation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2A8F" w14:textId="77777777" w:rsidR="007C04CD" w:rsidRPr="00965086" w:rsidRDefault="007C04CD" w:rsidP="002E2BFD">
            <w:r w:rsidRPr="00965086">
              <w:t>All levels of government (national, state/regional, local); infrastructure agencies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96FB6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>Managing deep uncertainty, building portfolios of options, charting strategic directions</w:t>
            </w:r>
          </w:p>
        </w:tc>
      </w:tr>
      <w:tr w:rsidR="007C04CD" w:rsidRPr="00965086" w14:paraId="4789E992" w14:textId="77777777" w:rsidTr="002E2BFD">
        <w:trPr>
          <w:trHeight w:val="2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EC87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t>Project developers (e.g. investment management;  planning)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B5FB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t>Infrastructure owners and operators; government departments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94E33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>Follow checklist / implement guidance</w:t>
            </w:r>
          </w:p>
        </w:tc>
      </w:tr>
      <w:tr w:rsidR="007C04CD" w:rsidRPr="00965086" w14:paraId="61733758" w14:textId="77777777" w:rsidTr="002E2BFD">
        <w:trPr>
          <w:trHeight w:val="2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6760" w14:textId="5A20F838" w:rsidR="007C04CD" w:rsidRPr="00965086" w:rsidRDefault="004A12E6" w:rsidP="002E2BFD">
            <w:pPr>
              <w:rPr>
                <w:rFonts w:cs="Arial"/>
              </w:rPr>
            </w:pPr>
            <w:r w:rsidRPr="00965086">
              <w:t>Organisational r</w:t>
            </w:r>
            <w:r w:rsidR="007C04CD" w:rsidRPr="00965086">
              <w:t xml:space="preserve">isk management (e.g. </w:t>
            </w:r>
            <w:r w:rsidRPr="00965086">
              <w:t>Directors and corporate risk managers</w:t>
            </w:r>
            <w:r w:rsidR="007C04CD" w:rsidRPr="00965086"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7F7A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t>Any*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B4E99" w14:textId="7134B63D" w:rsidR="007C04CD" w:rsidRPr="00965086" w:rsidRDefault="007C04CD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>Interested in significant or/and cumulative risks</w:t>
            </w:r>
            <w:r w:rsidR="004A12E6" w:rsidRPr="00965086">
              <w:rPr>
                <w:rFonts w:cs="Arial"/>
              </w:rPr>
              <w:t xml:space="preserve"> affecting bottom lines/ achievement of milestones and outputs</w:t>
            </w:r>
            <w:r w:rsidRPr="00965086">
              <w:rPr>
                <w:rFonts w:cs="Arial"/>
              </w:rPr>
              <w:t xml:space="preserve"> </w:t>
            </w:r>
            <w:r w:rsidR="004A12E6" w:rsidRPr="00965086">
              <w:rPr>
                <w:rFonts w:cs="Arial"/>
              </w:rPr>
              <w:t>contributing to outcomes</w:t>
            </w:r>
            <w:r w:rsidR="004A12E6" w:rsidRPr="00965086" w:rsidDel="004A12E6">
              <w:rPr>
                <w:rFonts w:cs="Arial"/>
              </w:rPr>
              <w:t xml:space="preserve"> </w:t>
            </w:r>
          </w:p>
        </w:tc>
      </w:tr>
      <w:tr w:rsidR="007C04CD" w:rsidRPr="00965086" w14:paraId="7908DDB0" w14:textId="77777777" w:rsidTr="002E2BFD">
        <w:trPr>
          <w:trHeight w:val="2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1D29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t>Audit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80D6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t>Any*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194DD" w14:textId="46901FA4" w:rsidR="007C04CD" w:rsidRPr="00965086" w:rsidRDefault="004A12E6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>R</w:t>
            </w:r>
            <w:r w:rsidR="007C04CD" w:rsidRPr="00965086">
              <w:rPr>
                <w:rFonts w:cs="Arial"/>
              </w:rPr>
              <w:t>egulatory compliance</w:t>
            </w:r>
            <w:r w:rsidRPr="00965086">
              <w:rPr>
                <w:rFonts w:cs="Arial"/>
              </w:rPr>
              <w:t xml:space="preserve"> and achievement of </w:t>
            </w:r>
            <w:r w:rsidR="00B51D26" w:rsidRPr="00965086">
              <w:rPr>
                <w:rFonts w:cs="Arial"/>
              </w:rPr>
              <w:t>milestones and outputs contributing to outcomes.</w:t>
            </w:r>
          </w:p>
        </w:tc>
      </w:tr>
      <w:tr w:rsidR="007C04CD" w:rsidRPr="00965086" w14:paraId="1332643B" w14:textId="77777777" w:rsidTr="002E2BFD">
        <w:trPr>
          <w:trHeight w:val="2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AF6F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t>Project funders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10F6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t>Institutional investors; multi-lateral development banks; development agencies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878CD3" w14:textId="27C0AE31" w:rsidR="007C04CD" w:rsidRPr="00965086" w:rsidRDefault="007C04CD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>Alignment with own approval processes</w:t>
            </w:r>
            <w:r w:rsidR="00B51D26" w:rsidRPr="00965086">
              <w:rPr>
                <w:rFonts w:cs="Arial"/>
              </w:rPr>
              <w:t xml:space="preserve"> and regulatory compliance in achieving objectives.</w:t>
            </w:r>
            <w:r w:rsidRPr="00965086">
              <w:rPr>
                <w:rFonts w:cs="Arial"/>
              </w:rPr>
              <w:t xml:space="preserve"> </w:t>
            </w:r>
          </w:p>
        </w:tc>
      </w:tr>
      <w:tr w:rsidR="007C04CD" w:rsidRPr="00965086" w14:paraId="1B1AA70F" w14:textId="77777777" w:rsidTr="002E2BFD">
        <w:trPr>
          <w:trHeight w:val="2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DC4A" w14:textId="77777777" w:rsidR="007C04CD" w:rsidRPr="00965086" w:rsidRDefault="007C04CD" w:rsidP="002E2BFD">
            <w:r w:rsidRPr="00965086">
              <w:t>Due diligence providers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C6D9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t>Consultancies and professional institutions (e.g. ASCE)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F1CA4" w14:textId="25E75C67" w:rsidR="007C04CD" w:rsidRPr="00965086" w:rsidRDefault="00B51D26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>C</w:t>
            </w:r>
            <w:r w:rsidR="007C04CD" w:rsidRPr="00965086">
              <w:rPr>
                <w:rFonts w:cs="Arial"/>
              </w:rPr>
              <w:t>ompliance</w:t>
            </w:r>
            <w:r w:rsidRPr="00965086">
              <w:rPr>
                <w:rFonts w:cs="Arial"/>
              </w:rPr>
              <w:t xml:space="preserve"> with regulations and professional codes of practice; risk issues</w:t>
            </w:r>
          </w:p>
        </w:tc>
      </w:tr>
      <w:tr w:rsidR="007C04CD" w:rsidRPr="00965086" w14:paraId="15FEB937" w14:textId="77777777" w:rsidTr="002E2BFD">
        <w:trPr>
          <w:trHeight w:val="2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9801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lastRenderedPageBreak/>
              <w:t>Project beneficiaries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48FD" w14:textId="77777777" w:rsidR="007C04CD" w:rsidRPr="00965086" w:rsidRDefault="007C04CD" w:rsidP="002E2BFD">
            <w:r w:rsidRPr="00965086">
              <w:t>Country governments; stakeholder groups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FFD797" w14:textId="37D0A3A6" w:rsidR="007C04CD" w:rsidRPr="00965086" w:rsidRDefault="00B51D26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 xml:space="preserve"> Fit for purpose projects that are sustainable as conditions and human populations change; Delivery on objectives; </w:t>
            </w:r>
            <w:r w:rsidR="007C04CD" w:rsidRPr="00965086">
              <w:rPr>
                <w:rFonts w:cs="Arial"/>
              </w:rPr>
              <w:t>Capacity building</w:t>
            </w:r>
          </w:p>
        </w:tc>
      </w:tr>
      <w:tr w:rsidR="007C04CD" w:rsidRPr="00965086" w14:paraId="0BC23821" w14:textId="77777777" w:rsidTr="002E2BFD">
        <w:trPr>
          <w:trHeight w:val="2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221C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>Financial sector oversight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6FAD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t>Rating agencies, central banks and regulation authorities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22214" w14:textId="5A22F50A" w:rsidR="007C04CD" w:rsidRPr="00965086" w:rsidRDefault="00B51D26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>C</w:t>
            </w:r>
            <w:r w:rsidR="007C04CD" w:rsidRPr="00965086">
              <w:rPr>
                <w:rFonts w:cs="Arial"/>
              </w:rPr>
              <w:t>ompliance; alignment with own risk management procedures; cumulative risks?</w:t>
            </w:r>
          </w:p>
        </w:tc>
      </w:tr>
      <w:tr w:rsidR="007C04CD" w:rsidRPr="00965086" w14:paraId="1800E2F2" w14:textId="77777777" w:rsidTr="002E2BFD">
        <w:trPr>
          <w:trHeight w:val="2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FBF7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t>Research organizations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127C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t>Universities, research institutes, think tanks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AC247E" w14:textId="0A1F6364" w:rsidR="007C04CD" w:rsidRPr="00965086" w:rsidRDefault="007C04CD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>Build</w:t>
            </w:r>
            <w:r w:rsidR="00B51D26" w:rsidRPr="00965086">
              <w:rPr>
                <w:rFonts w:cs="Arial"/>
              </w:rPr>
              <w:t>ing</w:t>
            </w:r>
            <w:r w:rsidRPr="00965086">
              <w:rPr>
                <w:rFonts w:cs="Arial"/>
              </w:rPr>
              <w:t xml:space="preserve"> background evidence</w:t>
            </w:r>
            <w:r w:rsidR="00B51D26" w:rsidRPr="00965086">
              <w:rPr>
                <w:rFonts w:cs="Arial"/>
              </w:rPr>
              <w:t xml:space="preserve"> for research</w:t>
            </w:r>
            <w:r w:rsidRPr="00965086">
              <w:rPr>
                <w:rFonts w:cs="Arial"/>
              </w:rPr>
              <w:t>; test</w:t>
            </w:r>
            <w:r w:rsidR="00B51D26" w:rsidRPr="00965086">
              <w:rPr>
                <w:rFonts w:cs="Arial"/>
              </w:rPr>
              <w:t>ing</w:t>
            </w:r>
            <w:r w:rsidRPr="00965086">
              <w:rPr>
                <w:rFonts w:cs="Arial"/>
              </w:rPr>
              <w:t xml:space="preserve"> guidance</w:t>
            </w:r>
            <w:r w:rsidR="00B51D26" w:rsidRPr="00965086">
              <w:rPr>
                <w:rFonts w:cs="Arial"/>
              </w:rPr>
              <w:t xml:space="preserve"> in field situations.</w:t>
            </w:r>
          </w:p>
        </w:tc>
      </w:tr>
      <w:tr w:rsidR="007C04CD" w:rsidRPr="00965086" w14:paraId="34C1E5F2" w14:textId="77777777" w:rsidTr="002E2BFD">
        <w:trPr>
          <w:trHeight w:val="2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2A57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>Standards organizations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2FEF" w14:textId="77777777" w:rsidR="007C04CD" w:rsidRPr="00965086" w:rsidRDefault="007C04CD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>General (e.g. ISO) or industry specific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3C60E" w14:textId="7630A143" w:rsidR="007C04CD" w:rsidRPr="00965086" w:rsidRDefault="00B51D26" w:rsidP="002E2BFD">
            <w:pPr>
              <w:rPr>
                <w:rFonts w:cs="Arial"/>
              </w:rPr>
            </w:pPr>
            <w:r w:rsidRPr="00965086">
              <w:rPr>
                <w:rFonts w:cs="Arial"/>
              </w:rPr>
              <w:t xml:space="preserve">Integrated with other risk assessment standards; codes of practice; </w:t>
            </w:r>
            <w:r w:rsidR="007C04CD" w:rsidRPr="00965086">
              <w:rPr>
                <w:rFonts w:cs="Arial"/>
              </w:rPr>
              <w:t>Potential standardization</w:t>
            </w:r>
            <w:r w:rsidRPr="00965086">
              <w:rPr>
                <w:rFonts w:cs="Arial"/>
              </w:rPr>
              <w:t xml:space="preserve"> of checklist</w:t>
            </w:r>
          </w:p>
        </w:tc>
      </w:tr>
    </w:tbl>
    <w:p w14:paraId="0D9F4D1C" w14:textId="77777777" w:rsidR="007C04CD" w:rsidRPr="00965086" w:rsidRDefault="007C04CD" w:rsidP="007C04CD">
      <w:r w:rsidRPr="00965086">
        <w:rPr>
          <w:b/>
        </w:rPr>
        <w:t>* Distinct function in infrastructure owners; assume similar in MDBs etc</w:t>
      </w:r>
    </w:p>
    <w:p w14:paraId="5FEB6E17" w14:textId="77777777" w:rsidR="007C04CD" w:rsidRPr="00965086" w:rsidRDefault="007C04CD" w:rsidP="00466558"/>
    <w:p w14:paraId="3906DDFA" w14:textId="17A018AD" w:rsidR="00466558" w:rsidRPr="00965086" w:rsidRDefault="00226481" w:rsidP="00226481">
      <w:pPr>
        <w:pStyle w:val="Heading1"/>
      </w:pPr>
      <w:r w:rsidRPr="00965086">
        <w:t>Checklist</w:t>
      </w:r>
    </w:p>
    <w:p w14:paraId="1A85B438" w14:textId="3B42CAFE" w:rsidR="005104EC" w:rsidRPr="00965086" w:rsidRDefault="00ED18A1" w:rsidP="00ED18A1">
      <w:r w:rsidRPr="00965086">
        <w:t xml:space="preserve">This checklist is </w:t>
      </w:r>
      <w:r w:rsidR="00D01EBE" w:rsidRPr="00965086">
        <w:t xml:space="preserve">a set of steps that can be taken when planning and making decisions under </w:t>
      </w:r>
      <w:r w:rsidRPr="00965086">
        <w:t xml:space="preserve">changing and uncertain conditions. </w:t>
      </w:r>
      <w:r w:rsidR="00EB589E" w:rsidRPr="00965086">
        <w:t xml:space="preserve">Each step can be revisited over time, including the decision framing, as conditions, stakeholders and preferences change. </w:t>
      </w:r>
      <w:r w:rsidRPr="00965086">
        <w:t xml:space="preserve">Participation of stakeholders in the DMDU process </w:t>
      </w:r>
      <w:r w:rsidR="003D60FE" w:rsidRPr="00965086">
        <w:t xml:space="preserve">will provide buy-in to the decision outcomes and will provide more </w:t>
      </w:r>
      <w:r w:rsidRPr="00965086">
        <w:t xml:space="preserve">robust decision making at all stages of the process. </w:t>
      </w:r>
      <w:r w:rsidR="00C0755B" w:rsidRPr="00965086">
        <w:t>When applied to problems that have deep uncertainty at many levels of decision making, about the system of concern and in the analysis process, t</w:t>
      </w:r>
      <w:r w:rsidRPr="00965086">
        <w:t xml:space="preserve">he checklist provides </w:t>
      </w:r>
      <w:r w:rsidR="00C0755B" w:rsidRPr="00965086">
        <w:t>a prompt for deep uncertainty to be explicitly considered</w:t>
      </w:r>
      <w:r w:rsidR="003D60FE" w:rsidRPr="00965086">
        <w:t xml:space="preserve">, thus enabling </w:t>
      </w:r>
      <w:r w:rsidRPr="00965086">
        <w:t xml:space="preserve">adjustments to be made over time </w:t>
      </w:r>
      <w:r w:rsidR="003D60FE" w:rsidRPr="00965086">
        <w:t>and</w:t>
      </w:r>
      <w:r w:rsidRPr="00965086">
        <w:t xml:space="preserve"> avoid lock-in of </w:t>
      </w:r>
      <w:r w:rsidR="003D60FE" w:rsidRPr="00965086">
        <w:t>decisions that can be more costly wh</w:t>
      </w:r>
      <w:r w:rsidR="00C0755B" w:rsidRPr="00965086">
        <w:t xml:space="preserve">en they fail to deliver on objectives. </w:t>
      </w:r>
      <w:r w:rsidRPr="00965086">
        <w:t xml:space="preserve">  </w:t>
      </w:r>
    </w:p>
    <w:p w14:paraId="3BDA2AFD" w14:textId="77777777" w:rsidR="007B7D15" w:rsidRPr="00965086" w:rsidRDefault="007B7D15"/>
    <w:p w14:paraId="697129B3" w14:textId="73232B19" w:rsidR="005104EC" w:rsidRPr="00965086" w:rsidRDefault="00557DA4">
      <w:r w:rsidRPr="00965086">
        <w:rPr>
          <w:b/>
        </w:rPr>
        <w:t xml:space="preserve">Checklist </w:t>
      </w:r>
    </w:p>
    <w:p w14:paraId="22DDDE7B" w14:textId="37A7AF4B" w:rsidR="00577B1C" w:rsidRPr="00965086" w:rsidRDefault="00557DA4" w:rsidP="009A1035">
      <w:pPr>
        <w:rPr>
          <w:b/>
          <w:bCs/>
        </w:rPr>
      </w:pPr>
      <w:r w:rsidRPr="00965086">
        <w:rPr>
          <w:b/>
          <w:bCs/>
        </w:rPr>
        <w:t>DECISION FRAMING</w:t>
      </w:r>
    </w:p>
    <w:p w14:paraId="4A09AEA1" w14:textId="22529A56" w:rsidR="00557DA4" w:rsidRPr="00965086" w:rsidRDefault="001435FF" w:rsidP="00557DA4">
      <w:pPr>
        <w:pStyle w:val="ListParagraph"/>
        <w:numPr>
          <w:ilvl w:val="0"/>
          <w:numId w:val="1"/>
        </w:numPr>
      </w:pPr>
      <w:r w:rsidRPr="00965086">
        <w:t xml:space="preserve">IDENTIFY </w:t>
      </w:r>
      <w:r w:rsidR="00A8601D" w:rsidRPr="00965086">
        <w:t xml:space="preserve">STAKES &amp; </w:t>
      </w:r>
      <w:r w:rsidR="00557DA4" w:rsidRPr="00965086">
        <w:t xml:space="preserve">STAKEHOLDERS / </w:t>
      </w:r>
      <w:r w:rsidR="00A8601D" w:rsidRPr="00965086">
        <w:t xml:space="preserve">TO WHOM </w:t>
      </w:r>
      <w:r w:rsidR="00557DA4" w:rsidRPr="00965086">
        <w:t>IS THE DECISION RELEVANT</w:t>
      </w:r>
      <w:r w:rsidR="00A8601D" w:rsidRPr="00965086">
        <w:t>?</w:t>
      </w:r>
    </w:p>
    <w:p w14:paraId="707D28AF" w14:textId="77777777" w:rsidR="00557DA4" w:rsidRPr="00965086" w:rsidRDefault="00557DA4" w:rsidP="00557DA4">
      <w:pPr>
        <w:pStyle w:val="ListParagraph"/>
        <w:numPr>
          <w:ilvl w:val="1"/>
          <w:numId w:val="1"/>
        </w:numPr>
      </w:pPr>
      <w:r w:rsidRPr="00965086">
        <w:t>Identify relevant stakeholders</w:t>
      </w:r>
    </w:p>
    <w:p w14:paraId="71E336B8" w14:textId="2F3DEFF2" w:rsidR="00EA3FB3" w:rsidRPr="00965086" w:rsidRDefault="00557DA4" w:rsidP="00A96FDA">
      <w:pPr>
        <w:pStyle w:val="ListParagraph"/>
        <w:numPr>
          <w:ilvl w:val="1"/>
          <w:numId w:val="1"/>
        </w:numPr>
      </w:pPr>
      <w:r w:rsidRPr="00965086">
        <w:t>Map stakeholder relationships</w:t>
      </w:r>
      <w:r w:rsidR="00A8601D" w:rsidRPr="00965086">
        <w:t xml:space="preserve"> </w:t>
      </w:r>
    </w:p>
    <w:p w14:paraId="73344E53" w14:textId="1FAE1720" w:rsidR="009A1035" w:rsidRPr="00965086" w:rsidRDefault="009A1035" w:rsidP="009A1035">
      <w:pPr>
        <w:pStyle w:val="ListParagraph"/>
        <w:numPr>
          <w:ilvl w:val="0"/>
          <w:numId w:val="1"/>
        </w:numPr>
      </w:pPr>
      <w:r w:rsidRPr="00965086">
        <w:t xml:space="preserve">DEFINE GOALS / </w:t>
      </w:r>
      <w:r w:rsidR="00725D5E" w:rsidRPr="00965086">
        <w:t>WHAT DO STA</w:t>
      </w:r>
      <w:r w:rsidR="00E956C9" w:rsidRPr="00965086">
        <w:t>K</w:t>
      </w:r>
      <w:r w:rsidR="00725D5E" w:rsidRPr="00965086">
        <w:t>EHOLDERS ASPIRE TO</w:t>
      </w:r>
      <w:r w:rsidR="00DA03FD" w:rsidRPr="00965086">
        <w:t>?</w:t>
      </w:r>
    </w:p>
    <w:p w14:paraId="63F9409C" w14:textId="7D743D26" w:rsidR="00A96FDA" w:rsidRPr="00965086" w:rsidRDefault="00961A75" w:rsidP="009A1035">
      <w:pPr>
        <w:pStyle w:val="ListParagraph"/>
        <w:numPr>
          <w:ilvl w:val="1"/>
          <w:numId w:val="1"/>
        </w:numPr>
      </w:pPr>
      <w:r w:rsidRPr="00965086">
        <w:t>Identify</w:t>
      </w:r>
      <w:r w:rsidR="009A1035" w:rsidRPr="00965086">
        <w:t xml:space="preserve"> broad</w:t>
      </w:r>
      <w:r w:rsidR="00486384" w:rsidRPr="00965086">
        <w:t xml:space="preserve"> goals</w:t>
      </w:r>
    </w:p>
    <w:p w14:paraId="4E682DA7" w14:textId="6869BA26" w:rsidR="00A96FDA" w:rsidRPr="00965086" w:rsidRDefault="00A96FDA" w:rsidP="00A96FDA">
      <w:pPr>
        <w:pStyle w:val="ListParagraph"/>
        <w:numPr>
          <w:ilvl w:val="1"/>
          <w:numId w:val="1"/>
        </w:numPr>
      </w:pPr>
      <w:r w:rsidRPr="00965086">
        <w:t>Identify values</w:t>
      </w:r>
      <w:r w:rsidR="00C76074" w:rsidRPr="00965086">
        <w:t xml:space="preserve"> and</w:t>
      </w:r>
      <w:r w:rsidRPr="00965086">
        <w:t xml:space="preserve"> positions across stakeholders</w:t>
      </w:r>
    </w:p>
    <w:p w14:paraId="39AEE4FC" w14:textId="17411206" w:rsidR="009A1035" w:rsidRPr="00965086" w:rsidRDefault="0003468C" w:rsidP="009A1035">
      <w:pPr>
        <w:pStyle w:val="ListParagraph"/>
        <w:numPr>
          <w:ilvl w:val="1"/>
          <w:numId w:val="1"/>
        </w:numPr>
      </w:pPr>
      <w:r w:rsidRPr="00965086">
        <w:t xml:space="preserve">Define </w:t>
      </w:r>
      <w:r w:rsidR="00320E4E" w:rsidRPr="00965086">
        <w:t>performance</w:t>
      </w:r>
      <w:r w:rsidR="005F292C" w:rsidRPr="00965086">
        <w:t xml:space="preserve"> metrics</w:t>
      </w:r>
      <w:r w:rsidR="00320E4E" w:rsidRPr="00965086">
        <w:t xml:space="preserve"> </w:t>
      </w:r>
      <w:r w:rsidR="00312FCA">
        <w:t>and thresholds for failure</w:t>
      </w:r>
    </w:p>
    <w:p w14:paraId="04F554F0" w14:textId="3E7F6E15" w:rsidR="009A1035" w:rsidRPr="00965086" w:rsidRDefault="009A1035" w:rsidP="009A1035">
      <w:pPr>
        <w:pStyle w:val="ListParagraph"/>
        <w:numPr>
          <w:ilvl w:val="1"/>
          <w:numId w:val="1"/>
        </w:numPr>
      </w:pPr>
      <w:r w:rsidRPr="00965086">
        <w:t>Identify the most appropriate team and rules of engagement</w:t>
      </w:r>
    </w:p>
    <w:p w14:paraId="4B34D88F" w14:textId="77777777" w:rsidR="00557DA4" w:rsidRPr="00965086" w:rsidRDefault="00557DA4" w:rsidP="00557DA4">
      <w:pPr>
        <w:pStyle w:val="ListParagraph"/>
        <w:numPr>
          <w:ilvl w:val="0"/>
          <w:numId w:val="1"/>
        </w:numPr>
      </w:pPr>
      <w:r w:rsidRPr="00965086">
        <w:t>BASELINE KNOWLEDGE AND ASSUMPTIONS / WHAT DO WE KNOW?</w:t>
      </w:r>
    </w:p>
    <w:p w14:paraId="4564BFA3" w14:textId="4E4C51ED" w:rsidR="00557DA4" w:rsidRPr="00965086" w:rsidRDefault="00557DA4" w:rsidP="00557DA4">
      <w:pPr>
        <w:pStyle w:val="ListParagraph"/>
        <w:numPr>
          <w:ilvl w:val="1"/>
          <w:numId w:val="1"/>
        </w:numPr>
      </w:pPr>
      <w:r w:rsidRPr="00965086">
        <w:lastRenderedPageBreak/>
        <w:t>Describe system and boundaries</w:t>
      </w:r>
      <w:r w:rsidR="001557D0" w:rsidRPr="00965086">
        <w:t xml:space="preserve"> (when boundaries are </w:t>
      </w:r>
      <w:r w:rsidR="00341227" w:rsidRPr="00965086">
        <w:t>known</w:t>
      </w:r>
      <w:r w:rsidR="001557D0" w:rsidRPr="00965086">
        <w:t>)</w:t>
      </w:r>
    </w:p>
    <w:p w14:paraId="4518BA50" w14:textId="77777777" w:rsidR="00557DA4" w:rsidRPr="00965086" w:rsidRDefault="002E43D7" w:rsidP="00557DA4">
      <w:pPr>
        <w:pStyle w:val="ListParagraph"/>
        <w:numPr>
          <w:ilvl w:val="1"/>
          <w:numId w:val="1"/>
        </w:numPr>
      </w:pPr>
      <w:r w:rsidRPr="00965086">
        <w:t>Identify known and perceived issues</w:t>
      </w:r>
    </w:p>
    <w:p w14:paraId="60B070B1" w14:textId="7950D676" w:rsidR="002E43D7" w:rsidRPr="00965086" w:rsidRDefault="002E43D7" w:rsidP="00557DA4">
      <w:pPr>
        <w:pStyle w:val="ListParagraph"/>
        <w:numPr>
          <w:ilvl w:val="1"/>
          <w:numId w:val="1"/>
        </w:numPr>
      </w:pPr>
      <w:r w:rsidRPr="00965086">
        <w:t>Document uncertainties</w:t>
      </w:r>
      <w:r w:rsidR="00341227" w:rsidRPr="00965086">
        <w:t xml:space="preserve"> (including in system boundary)</w:t>
      </w:r>
    </w:p>
    <w:p w14:paraId="2D406FFE" w14:textId="76387B81" w:rsidR="00111B3F" w:rsidRPr="00965086" w:rsidRDefault="00111B3F" w:rsidP="00557DA4">
      <w:pPr>
        <w:pStyle w:val="ListParagraph"/>
        <w:numPr>
          <w:ilvl w:val="1"/>
          <w:numId w:val="1"/>
        </w:numPr>
      </w:pPr>
      <w:r w:rsidRPr="00965086">
        <w:t>Engage a “devil’s advocate” reviewer pool across multiple interests</w:t>
      </w:r>
    </w:p>
    <w:p w14:paraId="74494288" w14:textId="617FD202" w:rsidR="002E43D7" w:rsidRPr="00965086" w:rsidRDefault="00FD333A" w:rsidP="00FD333A">
      <w:pPr>
        <w:pStyle w:val="ListParagraph"/>
        <w:numPr>
          <w:ilvl w:val="0"/>
          <w:numId w:val="1"/>
        </w:numPr>
      </w:pPr>
      <w:r w:rsidRPr="00965086">
        <w:t xml:space="preserve">IDENTIFY A </w:t>
      </w:r>
      <w:r w:rsidR="004B5F9D">
        <w:t>FIRST SET</w:t>
      </w:r>
      <w:r w:rsidRPr="00965086">
        <w:t xml:space="preserve"> OF POLICY ALTERNATIVES/ACTIONS</w:t>
      </w:r>
    </w:p>
    <w:p w14:paraId="7134A82B" w14:textId="706A320C" w:rsidR="00A8601D" w:rsidRPr="00965086" w:rsidRDefault="00111B3F" w:rsidP="00111B3F">
      <w:pPr>
        <w:pStyle w:val="ListParagraph"/>
        <w:numPr>
          <w:ilvl w:val="1"/>
          <w:numId w:val="1"/>
        </w:numPr>
      </w:pPr>
      <w:r w:rsidRPr="00965086">
        <w:t>Stakeholder participation to reflect preferences</w:t>
      </w:r>
    </w:p>
    <w:p w14:paraId="398A4F05" w14:textId="77777777" w:rsidR="002E43D7" w:rsidRPr="00965086" w:rsidRDefault="002E43D7" w:rsidP="002E43D7">
      <w:pPr>
        <w:pStyle w:val="ListParagraph"/>
        <w:numPr>
          <w:ilvl w:val="0"/>
          <w:numId w:val="1"/>
        </w:numPr>
      </w:pPr>
      <w:r w:rsidRPr="00965086">
        <w:t>IDENTIFY ANALYTICAL METHODS / WHAT METHOD(S) SHOULD BE USED?</w:t>
      </w:r>
    </w:p>
    <w:p w14:paraId="0A065726" w14:textId="67C5F453" w:rsidR="002E43D7" w:rsidRPr="00965086" w:rsidRDefault="00AE2360" w:rsidP="002E43D7">
      <w:pPr>
        <w:pStyle w:val="ListParagraph"/>
        <w:numPr>
          <w:ilvl w:val="1"/>
          <w:numId w:val="1"/>
        </w:numPr>
      </w:pPr>
      <w:r w:rsidRPr="00965086">
        <w:t>M</w:t>
      </w:r>
      <w:r w:rsidR="002E43D7" w:rsidRPr="00965086">
        <w:t xml:space="preserve">atch method to </w:t>
      </w:r>
      <w:r w:rsidR="008F08B9" w:rsidRPr="00965086">
        <w:t>decision context and uncertainties</w:t>
      </w:r>
    </w:p>
    <w:p w14:paraId="49C9AA48" w14:textId="76A2C148" w:rsidR="00AE2360" w:rsidRPr="00965086" w:rsidRDefault="005702EC" w:rsidP="00D85CCD">
      <w:pPr>
        <w:pStyle w:val="ListParagraph"/>
        <w:numPr>
          <w:ilvl w:val="1"/>
          <w:numId w:val="1"/>
        </w:numPr>
      </w:pPr>
      <w:r w:rsidRPr="00965086">
        <w:t>Select analytical method(s) and train / trial with stakeholders</w:t>
      </w:r>
    </w:p>
    <w:p w14:paraId="5C8B84B9" w14:textId="77777777" w:rsidR="00983906" w:rsidRPr="00965086" w:rsidRDefault="00983906" w:rsidP="00983906">
      <w:pPr>
        <w:pStyle w:val="ListParagraph"/>
        <w:numPr>
          <w:ilvl w:val="1"/>
          <w:numId w:val="1"/>
        </w:numPr>
      </w:pPr>
      <w:r w:rsidRPr="00965086">
        <w:t>Define robustness criteria (e.g. range of scenarios; least regret; risk reduction; path dependency)</w:t>
      </w:r>
    </w:p>
    <w:p w14:paraId="1015B22F" w14:textId="77777777" w:rsidR="00983906" w:rsidRPr="00965086" w:rsidRDefault="00983906" w:rsidP="0001069C">
      <w:pPr>
        <w:pStyle w:val="ListParagraph"/>
        <w:ind w:left="1495"/>
      </w:pPr>
    </w:p>
    <w:p w14:paraId="38E9E2C4" w14:textId="77777777" w:rsidR="00502E46" w:rsidRPr="00965086" w:rsidRDefault="00390821">
      <w:r w:rsidRPr="00965086">
        <w:t xml:space="preserve">Agree </w:t>
      </w:r>
      <w:r w:rsidR="008029B7" w:rsidRPr="00965086">
        <w:t xml:space="preserve">on </w:t>
      </w:r>
      <w:r w:rsidRPr="00965086">
        <w:t>evaluation approach</w:t>
      </w:r>
      <w:r w:rsidR="003C6C59" w:rsidRPr="00965086">
        <w:t xml:space="preserve">es </w:t>
      </w:r>
      <w:r w:rsidRPr="00965086">
        <w:t>(e.g. modelling</w:t>
      </w:r>
      <w:r w:rsidR="007B7D15" w:rsidRPr="00965086">
        <w:t>;</w:t>
      </w:r>
      <w:r w:rsidRPr="00965086">
        <w:t xml:space="preserve"> stakeholder trade-offs)</w:t>
      </w:r>
    </w:p>
    <w:p w14:paraId="1F98E371" w14:textId="635E6F8A" w:rsidR="008F08B9" w:rsidRPr="00965086" w:rsidRDefault="008F08B9">
      <w:pPr>
        <w:rPr>
          <w:b/>
          <w:bCs/>
        </w:rPr>
      </w:pPr>
      <w:r w:rsidRPr="00965086">
        <w:rPr>
          <w:b/>
          <w:bCs/>
        </w:rPr>
        <w:t xml:space="preserve">SCENARIO </w:t>
      </w:r>
      <w:r w:rsidR="00337EAD" w:rsidRPr="00965086">
        <w:rPr>
          <w:b/>
          <w:bCs/>
        </w:rPr>
        <w:t xml:space="preserve">AND VULNERABILITY </w:t>
      </w:r>
      <w:r w:rsidRPr="00965086">
        <w:rPr>
          <w:b/>
          <w:bCs/>
        </w:rPr>
        <w:t>ANALYSIS</w:t>
      </w:r>
    </w:p>
    <w:p w14:paraId="2606AFD1" w14:textId="7A710D46" w:rsidR="007C065E" w:rsidRPr="00965086" w:rsidRDefault="00882465" w:rsidP="008F08B9">
      <w:pPr>
        <w:pStyle w:val="ListParagraph"/>
        <w:numPr>
          <w:ilvl w:val="0"/>
          <w:numId w:val="1"/>
        </w:numPr>
      </w:pPr>
      <w:r w:rsidRPr="00965086">
        <w:t>SCENARIO GENERATION</w:t>
      </w:r>
      <w:r w:rsidR="000433D6" w:rsidRPr="00965086">
        <w:t xml:space="preserve">/WHAT </w:t>
      </w:r>
      <w:r w:rsidR="00C76074" w:rsidRPr="00965086">
        <w:t xml:space="preserve">FUTURE </w:t>
      </w:r>
      <w:r w:rsidR="000433D6" w:rsidRPr="00965086">
        <w:t>STATES OF THE WORLD SHOULD BE EXPLORED?</w:t>
      </w:r>
    </w:p>
    <w:p w14:paraId="7B44F416" w14:textId="77777777" w:rsidR="00DC79B9" w:rsidRPr="00965086" w:rsidRDefault="00DC79B9" w:rsidP="00DC79B9">
      <w:pPr>
        <w:pStyle w:val="ListParagraph"/>
        <w:numPr>
          <w:ilvl w:val="1"/>
          <w:numId w:val="1"/>
        </w:numPr>
      </w:pPr>
      <w:r w:rsidRPr="00965086">
        <w:t>Create scenarios, futures, and narratives that explore uncertainties</w:t>
      </w:r>
    </w:p>
    <w:p w14:paraId="1F54E508" w14:textId="6CA9C83E" w:rsidR="00DC79B9" w:rsidRPr="00965086" w:rsidRDefault="00DC79B9" w:rsidP="00DC79B9">
      <w:pPr>
        <w:pStyle w:val="ListParagraph"/>
        <w:numPr>
          <w:ilvl w:val="1"/>
          <w:numId w:val="1"/>
        </w:numPr>
      </w:pPr>
      <w:r w:rsidRPr="00965086">
        <w:t xml:space="preserve">Screening: </w:t>
      </w:r>
      <w:r w:rsidR="00192A61">
        <w:t xml:space="preserve">how do </w:t>
      </w:r>
      <w:r w:rsidR="00244D71">
        <w:t>uncertainties affect performance objectives</w:t>
      </w:r>
      <w:r w:rsidRPr="00965086">
        <w:t>?</w:t>
      </w:r>
    </w:p>
    <w:p w14:paraId="1F4BEC6C" w14:textId="0348712B" w:rsidR="00500C8D" w:rsidRPr="00965086" w:rsidRDefault="00500C8D" w:rsidP="00500C8D">
      <w:pPr>
        <w:pStyle w:val="ListParagraph"/>
        <w:numPr>
          <w:ilvl w:val="0"/>
          <w:numId w:val="1"/>
        </w:numPr>
      </w:pPr>
      <w:r w:rsidRPr="00965086">
        <w:t xml:space="preserve">DEVELOP PORTFOLIOS </w:t>
      </w:r>
      <w:r w:rsidR="00EB6362" w:rsidRPr="00965086">
        <w:t>OF ACTIONS/POLICIES</w:t>
      </w:r>
    </w:p>
    <w:p w14:paraId="5789502C" w14:textId="36B6632D" w:rsidR="00EB6362" w:rsidRPr="00965086" w:rsidRDefault="00500C8D" w:rsidP="00EB6362">
      <w:pPr>
        <w:pStyle w:val="ListParagraph"/>
        <w:numPr>
          <w:ilvl w:val="1"/>
          <w:numId w:val="1"/>
        </w:numPr>
      </w:pPr>
      <w:r w:rsidRPr="00965086">
        <w:t>Option development</w:t>
      </w:r>
      <w:r w:rsidR="00EB6362" w:rsidRPr="00965086">
        <w:t xml:space="preserve"> (through modelling or expert elicitation)</w:t>
      </w:r>
    </w:p>
    <w:p w14:paraId="71E7FF57" w14:textId="77777777" w:rsidR="00500C8D" w:rsidRPr="00965086" w:rsidRDefault="00500C8D" w:rsidP="00500C8D">
      <w:pPr>
        <w:pStyle w:val="ListParagraph"/>
        <w:numPr>
          <w:ilvl w:val="1"/>
          <w:numId w:val="1"/>
        </w:numPr>
      </w:pPr>
      <w:r w:rsidRPr="00965086">
        <w:t>Portfolio construction</w:t>
      </w:r>
    </w:p>
    <w:p w14:paraId="6C3B9115" w14:textId="4B8D68B3" w:rsidR="00500C8D" w:rsidRPr="00965086" w:rsidRDefault="00500C8D" w:rsidP="00500C8D">
      <w:pPr>
        <w:pStyle w:val="ListParagraph"/>
        <w:numPr>
          <w:ilvl w:val="1"/>
          <w:numId w:val="1"/>
        </w:numPr>
      </w:pPr>
      <w:r w:rsidRPr="00965086">
        <w:t>Search / long-list candidate portfolios</w:t>
      </w:r>
    </w:p>
    <w:p w14:paraId="663E5428" w14:textId="77777777" w:rsidR="00A21A2F" w:rsidRPr="00965086" w:rsidRDefault="00A21A2F" w:rsidP="00A21A2F">
      <w:pPr>
        <w:pStyle w:val="ListParagraph"/>
        <w:numPr>
          <w:ilvl w:val="0"/>
          <w:numId w:val="1"/>
        </w:numPr>
      </w:pPr>
      <w:r w:rsidRPr="00965086">
        <w:t>DEVELOP DECISION TRIGGERS AND CONTINGENCY ACTIONS</w:t>
      </w:r>
    </w:p>
    <w:p w14:paraId="002F684A" w14:textId="77777777" w:rsidR="00A21A2F" w:rsidRPr="00965086" w:rsidRDefault="00A21A2F" w:rsidP="00A21A2F">
      <w:pPr>
        <w:pStyle w:val="ListParagraph"/>
        <w:numPr>
          <w:ilvl w:val="1"/>
          <w:numId w:val="1"/>
        </w:numPr>
      </w:pPr>
      <w:r w:rsidRPr="00965086">
        <w:t xml:space="preserve">Design indicators for decision triggers to change course ahead of failures  </w:t>
      </w:r>
    </w:p>
    <w:p w14:paraId="0AF689DA" w14:textId="3746616E" w:rsidR="00A21A2F" w:rsidRPr="00965086" w:rsidRDefault="00A21A2F" w:rsidP="00A21A2F">
      <w:pPr>
        <w:pStyle w:val="ListParagraph"/>
        <w:numPr>
          <w:ilvl w:val="1"/>
          <w:numId w:val="1"/>
        </w:numPr>
      </w:pPr>
      <w:r w:rsidRPr="00965086">
        <w:t>Identify alternative actions and pathways when objectives cannot be met or they fail</w:t>
      </w:r>
    </w:p>
    <w:p w14:paraId="7FCEB474" w14:textId="09B7C35C" w:rsidR="008201AE" w:rsidRPr="00965086" w:rsidRDefault="008201AE" w:rsidP="008201AE">
      <w:pPr>
        <w:pStyle w:val="ListParagraph"/>
        <w:numPr>
          <w:ilvl w:val="0"/>
          <w:numId w:val="1"/>
        </w:numPr>
      </w:pPr>
      <w:r w:rsidRPr="00965086">
        <w:t xml:space="preserve">PORTFOLIO VULNERABILITY ANALYSIS / HOW DO </w:t>
      </w:r>
      <w:r w:rsidR="00DA2774" w:rsidRPr="00965086">
        <w:t>ACTIONS/POLICIES</w:t>
      </w:r>
      <w:r w:rsidR="005702EC" w:rsidRPr="00965086">
        <w:t xml:space="preserve"> </w:t>
      </w:r>
      <w:r w:rsidRPr="00965086">
        <w:t>PERFORM?</w:t>
      </w:r>
    </w:p>
    <w:p w14:paraId="44E5540F" w14:textId="282A30A7" w:rsidR="00524BC8" w:rsidRPr="00965086" w:rsidRDefault="00524BC8" w:rsidP="002E0A5A">
      <w:pPr>
        <w:pStyle w:val="ListParagraph"/>
        <w:numPr>
          <w:ilvl w:val="1"/>
          <w:numId w:val="1"/>
        </w:numPr>
      </w:pPr>
      <w:r w:rsidRPr="00965086">
        <w:t>Model system vulnerability</w:t>
      </w:r>
    </w:p>
    <w:p w14:paraId="75994CE8" w14:textId="7A28F8F3" w:rsidR="00714F28" w:rsidRPr="00965086" w:rsidRDefault="00714F28" w:rsidP="00714F28">
      <w:pPr>
        <w:pStyle w:val="ListParagraph"/>
        <w:numPr>
          <w:ilvl w:val="1"/>
          <w:numId w:val="1"/>
        </w:numPr>
      </w:pPr>
      <w:r w:rsidRPr="00965086">
        <w:t>Model system with candidate portfolios</w:t>
      </w:r>
    </w:p>
    <w:p w14:paraId="3B44F314" w14:textId="2DACCB20" w:rsidR="0016101B" w:rsidRPr="00965086" w:rsidRDefault="0016101B" w:rsidP="0016101B">
      <w:pPr>
        <w:pStyle w:val="ListParagraph"/>
        <w:numPr>
          <w:ilvl w:val="1"/>
          <w:numId w:val="1"/>
        </w:numPr>
      </w:pPr>
      <w:r w:rsidRPr="00965086">
        <w:t>Stress test the performance of portfolios/ pathways</w:t>
      </w:r>
    </w:p>
    <w:p w14:paraId="34893634" w14:textId="77777777" w:rsidR="00390821" w:rsidRPr="00965086" w:rsidRDefault="00390821" w:rsidP="008201AE">
      <w:pPr>
        <w:pStyle w:val="ListParagraph"/>
        <w:numPr>
          <w:ilvl w:val="1"/>
          <w:numId w:val="1"/>
        </w:numPr>
      </w:pPr>
      <w:r w:rsidRPr="00965086">
        <w:t>Identify failure causes</w:t>
      </w:r>
    </w:p>
    <w:p w14:paraId="3567DA0D" w14:textId="39D78104" w:rsidR="00337EAD" w:rsidRPr="00965086" w:rsidRDefault="00390821" w:rsidP="002E0A5A">
      <w:pPr>
        <w:pStyle w:val="ListParagraph"/>
        <w:numPr>
          <w:ilvl w:val="1"/>
          <w:numId w:val="1"/>
        </w:numPr>
      </w:pPr>
      <w:r w:rsidRPr="00965086">
        <w:t xml:space="preserve">Search / </w:t>
      </w:r>
      <w:r w:rsidR="00EF6E85" w:rsidRPr="00965086">
        <w:t>shortlist</w:t>
      </w:r>
      <w:r w:rsidRPr="00965086">
        <w:t xml:space="preserve"> portfolios</w:t>
      </w:r>
      <w:r w:rsidR="00EF6E85" w:rsidRPr="00965086">
        <w:t xml:space="preserve"> (e.g. </w:t>
      </w:r>
      <w:r w:rsidR="009022D2" w:rsidRPr="00965086">
        <w:t>Pareto</w:t>
      </w:r>
      <w:r w:rsidR="00EF6E85" w:rsidRPr="00965086">
        <w:t>-optimal)</w:t>
      </w:r>
    </w:p>
    <w:p w14:paraId="1B2A042B" w14:textId="04D5276A" w:rsidR="00337EAD" w:rsidRPr="00965086" w:rsidRDefault="00337EAD" w:rsidP="00A25FAF">
      <w:pPr>
        <w:pStyle w:val="ListParagraph"/>
        <w:numPr>
          <w:ilvl w:val="1"/>
          <w:numId w:val="1"/>
        </w:numPr>
      </w:pPr>
      <w:r w:rsidRPr="00965086">
        <w:t>Iteration e.g. add options; edit portfolio</w:t>
      </w:r>
    </w:p>
    <w:p w14:paraId="013F685C" w14:textId="7E9462CE" w:rsidR="00390821" w:rsidRPr="00965086" w:rsidRDefault="0050186D">
      <w:pPr>
        <w:rPr>
          <w:b/>
          <w:bCs/>
        </w:rPr>
      </w:pPr>
      <w:r w:rsidRPr="00965086">
        <w:rPr>
          <w:b/>
          <w:bCs/>
        </w:rPr>
        <w:t xml:space="preserve">STAKEHOLDER PREFERENCE </w:t>
      </w:r>
      <w:r w:rsidR="00A6374A" w:rsidRPr="00965086">
        <w:rPr>
          <w:b/>
          <w:bCs/>
        </w:rPr>
        <w:t xml:space="preserve">EVALUATION </w:t>
      </w:r>
    </w:p>
    <w:p w14:paraId="789343FF" w14:textId="59AD7E7E" w:rsidR="005104EC" w:rsidRPr="00965086" w:rsidRDefault="00EF6E85" w:rsidP="00EF6E85">
      <w:pPr>
        <w:pStyle w:val="ListParagraph"/>
        <w:numPr>
          <w:ilvl w:val="0"/>
          <w:numId w:val="1"/>
        </w:numPr>
      </w:pPr>
      <w:r w:rsidRPr="00965086">
        <w:t xml:space="preserve">PORTFOLIO </w:t>
      </w:r>
      <w:r w:rsidR="008018C3" w:rsidRPr="00965086">
        <w:t xml:space="preserve">/ PATHWAYS </w:t>
      </w:r>
      <w:r w:rsidR="00A6374A" w:rsidRPr="00965086">
        <w:t>EVALUATION</w:t>
      </w:r>
      <w:r w:rsidRPr="00965086">
        <w:t>/ WHICH PORTFOLIO(S)</w:t>
      </w:r>
      <w:r w:rsidR="008018C3" w:rsidRPr="00965086">
        <w:t>/ PATHWAYS ARE</w:t>
      </w:r>
      <w:r w:rsidRPr="00965086">
        <w:t xml:space="preserve"> PREFERRED?</w:t>
      </w:r>
    </w:p>
    <w:p w14:paraId="75A0884F" w14:textId="25B1BEB4" w:rsidR="00EF6E85" w:rsidRPr="00965086" w:rsidRDefault="00AE2360" w:rsidP="00EF6E85">
      <w:pPr>
        <w:pStyle w:val="ListParagraph"/>
        <w:numPr>
          <w:ilvl w:val="1"/>
          <w:numId w:val="1"/>
        </w:numPr>
      </w:pPr>
      <w:r w:rsidRPr="00965086">
        <w:t>St</w:t>
      </w:r>
      <w:r w:rsidR="00EF6E85" w:rsidRPr="00965086">
        <w:t xml:space="preserve">akeholder </w:t>
      </w:r>
      <w:r w:rsidR="00916479" w:rsidRPr="00965086">
        <w:t>participation to reflect</w:t>
      </w:r>
      <w:r w:rsidR="00244D71">
        <w:t>/update</w:t>
      </w:r>
      <w:r w:rsidR="00916479" w:rsidRPr="00965086">
        <w:t xml:space="preserve"> </w:t>
      </w:r>
      <w:r w:rsidR="007B7D15" w:rsidRPr="00965086">
        <w:t>preferences</w:t>
      </w:r>
    </w:p>
    <w:p w14:paraId="2611D714" w14:textId="22B52102" w:rsidR="00916479" w:rsidRPr="00965086" w:rsidRDefault="00A6374A" w:rsidP="00916479">
      <w:pPr>
        <w:pStyle w:val="ListParagraph"/>
        <w:numPr>
          <w:ilvl w:val="1"/>
          <w:numId w:val="1"/>
        </w:numPr>
      </w:pPr>
      <w:r w:rsidRPr="00965086">
        <w:t>Evaluate options/portfolios/pathways e.g. Multi-criteria analysis to assess relative values</w:t>
      </w:r>
    </w:p>
    <w:p w14:paraId="727F2F03" w14:textId="0D072080" w:rsidR="007B7D15" w:rsidRPr="00965086" w:rsidRDefault="007B7D15" w:rsidP="00A6374A">
      <w:pPr>
        <w:pStyle w:val="ListParagraph"/>
        <w:ind w:left="1495"/>
      </w:pPr>
    </w:p>
    <w:p w14:paraId="3CA0D969" w14:textId="2C1D136E" w:rsidR="00D06F78" w:rsidRPr="00965086" w:rsidRDefault="007B7D15" w:rsidP="007B7D15">
      <w:pPr>
        <w:rPr>
          <w:b/>
          <w:bCs/>
        </w:rPr>
      </w:pPr>
      <w:r w:rsidRPr="00965086">
        <w:rPr>
          <w:b/>
          <w:bCs/>
        </w:rPr>
        <w:t>IMPLEMENTATION</w:t>
      </w:r>
    </w:p>
    <w:p w14:paraId="01C17122" w14:textId="77777777" w:rsidR="00BD2887" w:rsidRPr="00965086" w:rsidRDefault="00BD2887" w:rsidP="00BD2887">
      <w:pPr>
        <w:pStyle w:val="ListParagraph"/>
        <w:numPr>
          <w:ilvl w:val="0"/>
          <w:numId w:val="1"/>
        </w:numPr>
      </w:pPr>
      <w:r w:rsidRPr="00965086">
        <w:t>IMPLEMENTATION</w:t>
      </w:r>
      <w:r w:rsidR="005D0D0A" w:rsidRPr="00965086">
        <w:t xml:space="preserve"> PLAN</w:t>
      </w:r>
    </w:p>
    <w:p w14:paraId="5CD7B510" w14:textId="77777777" w:rsidR="000A3904" w:rsidRPr="00965086" w:rsidRDefault="000A3904" w:rsidP="000A3904">
      <w:pPr>
        <w:pStyle w:val="ListParagraph"/>
        <w:numPr>
          <w:ilvl w:val="1"/>
          <w:numId w:val="1"/>
        </w:numPr>
      </w:pPr>
      <w:r w:rsidRPr="00965086">
        <w:lastRenderedPageBreak/>
        <w:t>Make short-term decisions and/or long-term options that can retain flexibility for shifting to other portfolio/ pathways if and when needed</w:t>
      </w:r>
    </w:p>
    <w:p w14:paraId="751DCC9C" w14:textId="3B76B7B9" w:rsidR="00E30FB7" w:rsidRPr="00965086" w:rsidRDefault="00EB6F0C" w:rsidP="00D06F78">
      <w:pPr>
        <w:pStyle w:val="ListParagraph"/>
        <w:numPr>
          <w:ilvl w:val="1"/>
          <w:numId w:val="1"/>
        </w:numPr>
      </w:pPr>
      <w:r w:rsidRPr="00965086">
        <w:t>Use</w:t>
      </w:r>
      <w:r w:rsidR="00A6374A" w:rsidRPr="00965086">
        <w:t xml:space="preserve"> </w:t>
      </w:r>
      <w:r w:rsidRPr="00965086">
        <w:t xml:space="preserve">planning and </w:t>
      </w:r>
      <w:r w:rsidR="00A6374A" w:rsidRPr="00965086">
        <w:t xml:space="preserve">regulatory </w:t>
      </w:r>
      <w:r w:rsidRPr="00965086">
        <w:t xml:space="preserve">responses to support adaptive /flexible implementation </w:t>
      </w:r>
      <w:r w:rsidR="00A6374A" w:rsidRPr="00965086">
        <w:t>that fit the changing risk situation e.g. flexible measures compared with static measures</w:t>
      </w:r>
    </w:p>
    <w:p w14:paraId="06AEFA28" w14:textId="03B1617D" w:rsidR="00D06F78" w:rsidRPr="00965086" w:rsidRDefault="005D0D0A" w:rsidP="0048406E">
      <w:pPr>
        <w:pStyle w:val="ListParagraph"/>
        <w:numPr>
          <w:ilvl w:val="1"/>
          <w:numId w:val="1"/>
        </w:numPr>
      </w:pPr>
      <w:r w:rsidRPr="00965086">
        <w:t xml:space="preserve"> </w:t>
      </w:r>
      <w:r w:rsidR="00EB6F0C" w:rsidRPr="00965086">
        <w:t xml:space="preserve">Apply </w:t>
      </w:r>
      <w:r w:rsidR="00D06F78" w:rsidRPr="00965086">
        <w:t>adaptive design (intra-option flexibility)</w:t>
      </w:r>
      <w:r w:rsidR="00EB6F0C" w:rsidRPr="00965086">
        <w:t xml:space="preserve"> criteria for buildings/ structures </w:t>
      </w:r>
    </w:p>
    <w:p w14:paraId="2A777B11" w14:textId="2CAE4732" w:rsidR="00E30FB7" w:rsidRPr="00965086" w:rsidRDefault="00E30FB7" w:rsidP="00D06F78">
      <w:pPr>
        <w:pStyle w:val="ListParagraph"/>
        <w:numPr>
          <w:ilvl w:val="1"/>
          <w:numId w:val="1"/>
        </w:numPr>
      </w:pPr>
      <w:r w:rsidRPr="00965086">
        <w:t xml:space="preserve">Develop project implementation plan </w:t>
      </w:r>
      <w:r w:rsidR="00EB6F0C" w:rsidRPr="00965086">
        <w:t>that can be adjusted over time as conditions change</w:t>
      </w:r>
      <w:r w:rsidRPr="00965086">
        <w:t xml:space="preserve">. </w:t>
      </w:r>
    </w:p>
    <w:p w14:paraId="1465FCE8" w14:textId="77777777" w:rsidR="00EF6E85" w:rsidRPr="00965086" w:rsidRDefault="00EF6E85">
      <w:r w:rsidRPr="00965086">
        <w:rPr>
          <w:b/>
          <w:bCs/>
        </w:rPr>
        <w:t>MONITORING</w:t>
      </w:r>
    </w:p>
    <w:p w14:paraId="27A41C8F" w14:textId="77777777" w:rsidR="00EF6E85" w:rsidRPr="00965086" w:rsidRDefault="00BD2887" w:rsidP="00BD2887">
      <w:pPr>
        <w:pStyle w:val="ListParagraph"/>
        <w:numPr>
          <w:ilvl w:val="0"/>
          <w:numId w:val="1"/>
        </w:numPr>
      </w:pPr>
      <w:r w:rsidRPr="00965086">
        <w:t>MONITOR</w:t>
      </w:r>
    </w:p>
    <w:p w14:paraId="74A03417" w14:textId="4ACBBA40" w:rsidR="00524BC8" w:rsidRPr="00965086" w:rsidRDefault="00524BC8" w:rsidP="00BD2887">
      <w:pPr>
        <w:pStyle w:val="ListParagraph"/>
        <w:numPr>
          <w:ilvl w:val="1"/>
          <w:numId w:val="1"/>
        </w:numPr>
      </w:pPr>
      <w:r w:rsidRPr="00965086">
        <w:t>Secure adequate funding for monitoring</w:t>
      </w:r>
      <w:r w:rsidR="00337EAD" w:rsidRPr="00965086">
        <w:t xml:space="preserve"> system</w:t>
      </w:r>
      <w:r w:rsidRPr="00965086">
        <w:t xml:space="preserve"> design and </w:t>
      </w:r>
      <w:r w:rsidR="00337EAD" w:rsidRPr="00965086">
        <w:t xml:space="preserve">its </w:t>
      </w:r>
      <w:r w:rsidRPr="00965086">
        <w:t>execution</w:t>
      </w:r>
    </w:p>
    <w:p w14:paraId="5DE87057" w14:textId="30468B1E" w:rsidR="00BD2887" w:rsidRPr="00965086" w:rsidRDefault="00BD2887" w:rsidP="00BD2887">
      <w:pPr>
        <w:pStyle w:val="ListParagraph"/>
        <w:numPr>
          <w:ilvl w:val="1"/>
          <w:numId w:val="1"/>
        </w:numPr>
      </w:pPr>
      <w:r w:rsidRPr="00965086">
        <w:t xml:space="preserve">Develop </w:t>
      </w:r>
      <w:r w:rsidR="009C6A04" w:rsidRPr="00965086">
        <w:t xml:space="preserve">the </w:t>
      </w:r>
      <w:r w:rsidRPr="00965086">
        <w:t>monitoring plan</w:t>
      </w:r>
      <w:r w:rsidR="005D0D0A" w:rsidRPr="00965086">
        <w:t xml:space="preserve"> </w:t>
      </w:r>
      <w:r w:rsidR="009C6A04" w:rsidRPr="00965086">
        <w:t xml:space="preserve">using the </w:t>
      </w:r>
      <w:r w:rsidR="00EB6F0C" w:rsidRPr="00965086">
        <w:t xml:space="preserve">decision </w:t>
      </w:r>
      <w:r w:rsidR="00337EAD" w:rsidRPr="00965086">
        <w:t>triggers</w:t>
      </w:r>
      <w:r w:rsidR="009C6A04" w:rsidRPr="00965086">
        <w:t xml:space="preserve"> designed in </w:t>
      </w:r>
      <w:r w:rsidR="00E02263">
        <w:t>8</w:t>
      </w:r>
      <w:r w:rsidR="00A25FAF" w:rsidRPr="00965086">
        <w:t>b</w:t>
      </w:r>
      <w:r w:rsidR="000A3904" w:rsidRPr="00965086">
        <w:t xml:space="preserve"> </w:t>
      </w:r>
      <w:r w:rsidR="009C6A04" w:rsidRPr="00965086">
        <w:t>above</w:t>
      </w:r>
      <w:r w:rsidR="005D0D0A" w:rsidRPr="00965086">
        <w:t xml:space="preserve"> </w:t>
      </w:r>
    </w:p>
    <w:p w14:paraId="392AA401" w14:textId="7D301557" w:rsidR="00BD2887" w:rsidRPr="00965086" w:rsidRDefault="00EB6F0C" w:rsidP="00BD2887">
      <w:pPr>
        <w:pStyle w:val="ListParagraph"/>
        <w:numPr>
          <w:ilvl w:val="1"/>
          <w:numId w:val="1"/>
        </w:numPr>
      </w:pPr>
      <w:r w:rsidRPr="00965086">
        <w:t>Monitor trends, signals</w:t>
      </w:r>
      <w:r w:rsidR="00BD2887" w:rsidRPr="00965086">
        <w:t xml:space="preserve"> and triggers</w:t>
      </w:r>
    </w:p>
    <w:p w14:paraId="33E29182" w14:textId="285C726D" w:rsidR="00E30FB7" w:rsidRPr="00965086" w:rsidRDefault="00E30FB7" w:rsidP="00BD2887">
      <w:pPr>
        <w:pStyle w:val="ListParagraph"/>
        <w:numPr>
          <w:ilvl w:val="1"/>
          <w:numId w:val="1"/>
        </w:numPr>
      </w:pPr>
      <w:r w:rsidRPr="00965086">
        <w:t>Assign responsibility for monitoring signals and triggers</w:t>
      </w:r>
    </w:p>
    <w:p w14:paraId="7D9E9A1C" w14:textId="20A7D558" w:rsidR="009C6A04" w:rsidRPr="00965086" w:rsidRDefault="009C6A04" w:rsidP="00BD2887">
      <w:pPr>
        <w:pStyle w:val="ListParagraph"/>
        <w:numPr>
          <w:ilvl w:val="1"/>
          <w:numId w:val="1"/>
        </w:numPr>
      </w:pPr>
      <w:r w:rsidRPr="00965086">
        <w:t>Create an accountability system (e.g. transparent performance indicators)</w:t>
      </w:r>
    </w:p>
    <w:p w14:paraId="15F4E539" w14:textId="46FC1027" w:rsidR="00E30FB7" w:rsidRPr="00965086" w:rsidRDefault="00BD2887" w:rsidP="00BD2887">
      <w:pPr>
        <w:pStyle w:val="ListParagraph"/>
        <w:numPr>
          <w:ilvl w:val="1"/>
          <w:numId w:val="1"/>
        </w:numPr>
      </w:pPr>
      <w:r w:rsidRPr="00965086">
        <w:t>Monitor portfolio</w:t>
      </w:r>
      <w:r w:rsidR="00EB6F0C" w:rsidRPr="00965086">
        <w:t xml:space="preserve">/pathways </w:t>
      </w:r>
      <w:r w:rsidRPr="00965086">
        <w:t>performance</w:t>
      </w:r>
      <w:r w:rsidR="005D0D0A" w:rsidRPr="00965086">
        <w:t xml:space="preserve"> </w:t>
      </w:r>
    </w:p>
    <w:p w14:paraId="6F0A69A3" w14:textId="7D219EFD" w:rsidR="00BD2887" w:rsidRPr="00965086" w:rsidRDefault="00E30FB7" w:rsidP="00BD2887">
      <w:pPr>
        <w:pStyle w:val="ListParagraph"/>
        <w:numPr>
          <w:ilvl w:val="1"/>
          <w:numId w:val="1"/>
        </w:numPr>
      </w:pPr>
      <w:r w:rsidRPr="00965086">
        <w:t>When signals and triggers reached</w:t>
      </w:r>
      <w:r w:rsidR="009C6A04" w:rsidRPr="00965086">
        <w:t>,</w:t>
      </w:r>
      <w:r w:rsidRPr="00965086">
        <w:t xml:space="preserve"> responsible agency review</w:t>
      </w:r>
      <w:r w:rsidR="009C6A04" w:rsidRPr="00965086">
        <w:t>s</w:t>
      </w:r>
      <w:r w:rsidRPr="00965086">
        <w:t xml:space="preserve"> adaptive plan</w:t>
      </w:r>
    </w:p>
    <w:p w14:paraId="0DDD4434" w14:textId="77777777" w:rsidR="009C6A04" w:rsidRPr="00965086" w:rsidRDefault="009C6A04" w:rsidP="009C6A04">
      <w:pPr>
        <w:pStyle w:val="ListParagraph"/>
        <w:ind w:left="1495"/>
      </w:pPr>
    </w:p>
    <w:p w14:paraId="7D837950" w14:textId="77777777" w:rsidR="00BD2887" w:rsidRPr="00965086" w:rsidRDefault="00BD2887" w:rsidP="00BD2887">
      <w:pPr>
        <w:pStyle w:val="ListParagraph"/>
        <w:numPr>
          <w:ilvl w:val="0"/>
          <w:numId w:val="1"/>
        </w:numPr>
      </w:pPr>
      <w:r w:rsidRPr="00965086">
        <w:t>REVIEW &amp; ADJUST</w:t>
      </w:r>
    </w:p>
    <w:p w14:paraId="37D1EFDE" w14:textId="77777777" w:rsidR="00BD2887" w:rsidRPr="00965086" w:rsidRDefault="00BD2887" w:rsidP="00BD2887">
      <w:pPr>
        <w:pStyle w:val="ListParagraph"/>
        <w:numPr>
          <w:ilvl w:val="1"/>
          <w:numId w:val="1"/>
        </w:numPr>
      </w:pPr>
      <w:r w:rsidRPr="00965086">
        <w:t>Adopt contingency actions e.g. switch pathway</w:t>
      </w:r>
      <w:r w:rsidR="00D06F78" w:rsidRPr="00965086">
        <w:t>, or adjust options</w:t>
      </w:r>
    </w:p>
    <w:p w14:paraId="0BEBF098" w14:textId="1F70E27C" w:rsidR="00BD2887" w:rsidRDefault="00BD2887" w:rsidP="00BD2887">
      <w:pPr>
        <w:pStyle w:val="ListParagraph"/>
        <w:numPr>
          <w:ilvl w:val="1"/>
          <w:numId w:val="1"/>
        </w:numPr>
      </w:pPr>
      <w:r w:rsidRPr="00965086">
        <w:t>Identify where trends / events might require new analysis</w:t>
      </w:r>
      <w:r w:rsidR="00EB6F0C" w:rsidRPr="00965086">
        <w:t xml:space="preserve"> and re iterate through </w:t>
      </w:r>
      <w:r w:rsidR="009C6A04" w:rsidRPr="00965086">
        <w:softHyphen/>
      </w:r>
      <w:r w:rsidR="009C6A04" w:rsidRPr="00965086">
        <w:softHyphen/>
      </w:r>
      <w:r w:rsidR="009C6A04" w:rsidRPr="00965086">
        <w:softHyphen/>
      </w:r>
      <w:r w:rsidR="009C6A04" w:rsidRPr="00965086">
        <w:softHyphen/>
      </w:r>
      <w:r w:rsidR="00EB6F0C" w:rsidRPr="00965086">
        <w:t>the checklist</w:t>
      </w:r>
    </w:p>
    <w:p w14:paraId="48AD6FDC" w14:textId="78735B1C" w:rsidR="00890C03" w:rsidRPr="00965086" w:rsidRDefault="00890C03" w:rsidP="00890C03">
      <w:pPr>
        <w:pStyle w:val="ListParagraph"/>
        <w:numPr>
          <w:ilvl w:val="1"/>
          <w:numId w:val="1"/>
        </w:numPr>
      </w:pPr>
      <w:r w:rsidRPr="00965086">
        <w:t>Revisit the decision framing</w:t>
      </w:r>
      <w:r>
        <w:t xml:space="preserve"> and repeat all steps if necessary</w:t>
      </w:r>
    </w:p>
    <w:p w14:paraId="4F4A3881" w14:textId="522FDAFF" w:rsidR="007B7D15" w:rsidRPr="00965086" w:rsidRDefault="00D06F78" w:rsidP="007B7D15">
      <w:pPr>
        <w:pStyle w:val="ListParagraph"/>
        <w:numPr>
          <w:ilvl w:val="1"/>
          <w:numId w:val="1"/>
        </w:numPr>
      </w:pPr>
      <w:r w:rsidRPr="00965086">
        <w:t>Share information with stakeholders</w:t>
      </w:r>
    </w:p>
    <w:p w14:paraId="4A5F235F" w14:textId="3768C92F" w:rsidR="007B7D15" w:rsidRPr="00965086" w:rsidRDefault="00E30FB7" w:rsidP="0048406E">
      <w:pPr>
        <w:pStyle w:val="ListParagraph"/>
        <w:numPr>
          <w:ilvl w:val="1"/>
          <w:numId w:val="1"/>
        </w:numPr>
      </w:pPr>
      <w:r w:rsidRPr="00965086">
        <w:t>Make decisions as to forward looking strategy</w:t>
      </w:r>
    </w:p>
    <w:p w14:paraId="24E5D8AF" w14:textId="6FD69161" w:rsidR="005104EC" w:rsidRPr="00965086" w:rsidRDefault="005104EC" w:rsidP="007C04CD">
      <w:pPr>
        <w:pStyle w:val="Heading1"/>
      </w:pPr>
      <w:r w:rsidRPr="00965086">
        <w:t>Frequently made mistakes</w:t>
      </w:r>
      <w:r w:rsidR="009C6A04" w:rsidRPr="00965086">
        <w:tab/>
      </w:r>
    </w:p>
    <w:p w14:paraId="7A39870B" w14:textId="69298793" w:rsidR="00A8601D" w:rsidRPr="00965086" w:rsidRDefault="00A8601D" w:rsidP="00A8601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eastAsia="Times New Roman" w:cstheme="minorHAnsi"/>
          <w:lang w:val="en-US" w:eastAsia="en-NZ"/>
        </w:rPr>
      </w:pPr>
      <w:r w:rsidRPr="00965086">
        <w:rPr>
          <w:rFonts w:eastAsia="Times New Roman" w:cstheme="minorHAnsi"/>
          <w:lang w:val="en-US" w:eastAsia="en-NZ"/>
        </w:rPr>
        <w:t>Not considering broader values and diverse alternatives early on in framing</w:t>
      </w:r>
    </w:p>
    <w:p w14:paraId="0BFEB985" w14:textId="03B66F8F" w:rsidR="00A8601D" w:rsidRPr="00965086" w:rsidRDefault="00A8601D" w:rsidP="00A8601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eastAsia="Times New Roman" w:cstheme="minorHAnsi"/>
          <w:lang w:val="en-US" w:eastAsia="en-NZ"/>
        </w:rPr>
      </w:pPr>
      <w:r w:rsidRPr="00965086">
        <w:rPr>
          <w:rFonts w:eastAsia="Times New Roman" w:cstheme="minorHAnsi"/>
          <w:lang w:val="en-US" w:eastAsia="en-NZ"/>
        </w:rPr>
        <w:t>Limiting in advance the issues of concern</w:t>
      </w:r>
    </w:p>
    <w:p w14:paraId="461FD4FE" w14:textId="01A81FF0" w:rsidR="00A8601D" w:rsidRPr="00965086" w:rsidRDefault="00A8601D" w:rsidP="00A8601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eastAsia="Times New Roman" w:cstheme="minorHAnsi"/>
          <w:lang w:val="en-US" w:eastAsia="en-NZ"/>
        </w:rPr>
      </w:pPr>
      <w:r w:rsidRPr="00965086">
        <w:rPr>
          <w:rFonts w:eastAsia="Times New Roman" w:cstheme="minorHAnsi"/>
          <w:lang w:val="en-US" w:eastAsia="en-NZ"/>
        </w:rPr>
        <w:t>Insufficient consideration of a diversity of metrics that capture broader stakes and impacts in the system</w:t>
      </w:r>
    </w:p>
    <w:p w14:paraId="4E3AFE85" w14:textId="65715753" w:rsidR="00A8601D" w:rsidRPr="00965086" w:rsidRDefault="00A8601D" w:rsidP="00A8601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eastAsia="Times New Roman" w:cstheme="minorHAnsi"/>
          <w:lang w:val="en-US" w:eastAsia="en-NZ"/>
        </w:rPr>
      </w:pPr>
      <w:r w:rsidRPr="00965086">
        <w:rPr>
          <w:rFonts w:eastAsia="Times New Roman" w:cstheme="minorHAnsi"/>
          <w:lang w:val="en-US" w:eastAsia="en-NZ"/>
        </w:rPr>
        <w:t>Ignoring institutional instability and shocks</w:t>
      </w:r>
    </w:p>
    <w:p w14:paraId="484323E2" w14:textId="3E4632B0" w:rsidR="00A8601D" w:rsidRPr="00965086" w:rsidRDefault="00A8601D" w:rsidP="00A8601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eastAsia="Times New Roman" w:cstheme="minorHAnsi"/>
          <w:lang w:val="en-US" w:eastAsia="en-NZ"/>
        </w:rPr>
      </w:pPr>
      <w:r w:rsidRPr="00965086">
        <w:rPr>
          <w:rFonts w:eastAsia="Times New Roman" w:cstheme="minorHAnsi"/>
          <w:lang w:val="en-US" w:eastAsia="en-NZ"/>
        </w:rPr>
        <w:t>Not allowing dissenting critiques early and often</w:t>
      </w:r>
    </w:p>
    <w:p w14:paraId="20B68832" w14:textId="47781B57" w:rsidR="005104EC" w:rsidRPr="00965086" w:rsidRDefault="005104EC" w:rsidP="00A8601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eastAsia="Times New Roman" w:cstheme="minorHAnsi"/>
          <w:lang w:val="en-US" w:eastAsia="en-NZ"/>
        </w:rPr>
      </w:pPr>
      <w:r w:rsidRPr="00965086">
        <w:t>Using "best estimates"</w:t>
      </w:r>
      <w:r w:rsidR="003B3228" w:rsidRPr="00965086">
        <w:t xml:space="preserve"> or averages </w:t>
      </w:r>
      <w:r w:rsidRPr="00965086">
        <w:t>for uncertainty</w:t>
      </w:r>
    </w:p>
    <w:p w14:paraId="159398BE" w14:textId="704C4907" w:rsidR="005104EC" w:rsidRPr="00965086" w:rsidRDefault="00A8601D" w:rsidP="003E188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</w:pPr>
      <w:r w:rsidRPr="00965086">
        <w:t>U</w:t>
      </w:r>
      <w:r w:rsidR="00A8080A" w:rsidRPr="00965086">
        <w:t>sing t</w:t>
      </w:r>
      <w:r w:rsidR="005104EC" w:rsidRPr="00965086">
        <w:t>imeframes for</w:t>
      </w:r>
      <w:r w:rsidR="00A8080A" w:rsidRPr="00965086">
        <w:t xml:space="preserve"> planning, design and investment that are mismatched with the ‘real’ lifetime of the asset, which </w:t>
      </w:r>
      <w:r w:rsidR="000A3904" w:rsidRPr="00965086">
        <w:t>can be</w:t>
      </w:r>
      <w:r w:rsidR="00A8080A" w:rsidRPr="00965086">
        <w:t xml:space="preserve"> longer</w:t>
      </w:r>
    </w:p>
    <w:p w14:paraId="1F94BE35" w14:textId="1E89E41F" w:rsidR="00A8080A" w:rsidRPr="00965086" w:rsidRDefault="00A8601D" w:rsidP="0082466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</w:pPr>
      <w:r w:rsidRPr="00965086">
        <w:t>U</w:t>
      </w:r>
      <w:r w:rsidR="00A8080A" w:rsidRPr="00965086">
        <w:t>sing economic assessment tools that are ill-suited to uncertain and changing risk situations i</w:t>
      </w:r>
      <w:r w:rsidR="00787DC4" w:rsidRPr="00965086">
        <w:t>.</w:t>
      </w:r>
      <w:r w:rsidR="00A8080A" w:rsidRPr="00965086">
        <w:t>e</w:t>
      </w:r>
      <w:r w:rsidR="00787DC4" w:rsidRPr="00965086">
        <w:t>.</w:t>
      </w:r>
      <w:r w:rsidR="00A8080A" w:rsidRPr="00965086">
        <w:t xml:space="preserve"> rely upon </w:t>
      </w:r>
      <w:r w:rsidR="00787DC4" w:rsidRPr="00965086">
        <w:t>pre-defined or static conditions based on historic or current conditions</w:t>
      </w:r>
    </w:p>
    <w:p w14:paraId="0868EDE9" w14:textId="2D93CBAB" w:rsidR="00A8601D" w:rsidRPr="00965086" w:rsidRDefault="00A8601D" w:rsidP="00B6713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</w:pPr>
      <w:r w:rsidRPr="00965086">
        <w:t>U</w:t>
      </w:r>
      <w:r w:rsidR="005104EC" w:rsidRPr="00965086">
        <w:t xml:space="preserve">sing high </w:t>
      </w:r>
      <w:r w:rsidR="002A6EEA">
        <w:t>discount rates that</w:t>
      </w:r>
      <w:r w:rsidR="00EB6F0C" w:rsidRPr="00965086">
        <w:t xml:space="preserve"> discount </w:t>
      </w:r>
      <w:r w:rsidR="00A8080A" w:rsidRPr="00965086">
        <w:t xml:space="preserve">the </w:t>
      </w:r>
      <w:r w:rsidR="00EB6F0C" w:rsidRPr="00965086">
        <w:t xml:space="preserve">benefits from taking adaptive action </w:t>
      </w:r>
      <w:r w:rsidR="00EB6F0C" w:rsidRPr="00965086">
        <w:rPr>
          <w:b/>
        </w:rPr>
        <w:t xml:space="preserve">now </w:t>
      </w:r>
      <w:r w:rsidR="00EB6F0C" w:rsidRPr="00965086">
        <w:t>that is not realised until sometime in the future</w:t>
      </w:r>
    </w:p>
    <w:p w14:paraId="3CAF995F" w14:textId="19F936DD" w:rsidR="005104EC" w:rsidRPr="00965086" w:rsidRDefault="00A8601D" w:rsidP="00A86B2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</w:pPr>
      <w:r w:rsidRPr="00965086">
        <w:t>U</w:t>
      </w:r>
      <w:r w:rsidR="005104EC" w:rsidRPr="00965086">
        <w:t>sing static planning instruments spatially for man</w:t>
      </w:r>
      <w:r w:rsidR="002A6EEA">
        <w:t>a</w:t>
      </w:r>
      <w:r w:rsidR="005104EC" w:rsidRPr="00965086">
        <w:t>ging changing risks</w:t>
      </w:r>
    </w:p>
    <w:p w14:paraId="0D30AC13" w14:textId="55786601" w:rsidR="00A8601D" w:rsidRPr="00965086" w:rsidRDefault="00A8601D" w:rsidP="005C372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</w:pPr>
      <w:r w:rsidRPr="00965086">
        <w:t>U</w:t>
      </w:r>
      <w:r w:rsidR="005104EC" w:rsidRPr="00965086">
        <w:t xml:space="preserve">sing probabilistic methodologies where uncertainty is high [or where probabilities cannot be accurately defined </w:t>
      </w:r>
      <w:r w:rsidR="000A3904" w:rsidRPr="00965086">
        <w:t xml:space="preserve">because of </w:t>
      </w:r>
      <w:r w:rsidR="00C71E72">
        <w:t xml:space="preserve">deep </w:t>
      </w:r>
      <w:r w:rsidR="000A3904" w:rsidRPr="00965086">
        <w:t>uncertainty about the future</w:t>
      </w:r>
      <w:r w:rsidR="00C71E72">
        <w:t>]</w:t>
      </w:r>
    </w:p>
    <w:p w14:paraId="6EADBB62" w14:textId="77777777" w:rsidR="00A8601D" w:rsidRPr="00965086" w:rsidRDefault="00A8601D" w:rsidP="005104E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</w:pPr>
      <w:r w:rsidRPr="00965086">
        <w:t>N</w:t>
      </w:r>
      <w:r w:rsidR="005104EC" w:rsidRPr="00965086">
        <w:t xml:space="preserve">ot </w:t>
      </w:r>
      <w:r w:rsidR="00A8080A" w:rsidRPr="00965086">
        <w:t>providing initial and ongoing opportunities for participation of stakeholders in the decision process as conditions change over time</w:t>
      </w:r>
    </w:p>
    <w:p w14:paraId="714D4768" w14:textId="19FA7F30" w:rsidR="005104EC" w:rsidRPr="00965086" w:rsidRDefault="005104EC" w:rsidP="005104E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</w:pPr>
      <w:r w:rsidRPr="00965086">
        <w:lastRenderedPageBreak/>
        <w:t>Not keeping the decision</w:t>
      </w:r>
      <w:r w:rsidR="003D40E7" w:rsidRPr="00965086">
        <w:t xml:space="preserve"> </w:t>
      </w:r>
      <w:r w:rsidRPr="00965086">
        <w:t>makers abreast of how uncertainty can be considered</w:t>
      </w:r>
    </w:p>
    <w:p w14:paraId="3CB948C8" w14:textId="25A888AE" w:rsidR="005104EC" w:rsidRPr="00965086" w:rsidRDefault="00A8601D" w:rsidP="001451D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</w:pPr>
      <w:r w:rsidRPr="00965086">
        <w:t>C</w:t>
      </w:r>
      <w:r w:rsidR="005104EC" w:rsidRPr="00965086">
        <w:t xml:space="preserve">onfusing normative and exploratory scenarios (what we’d like to happen is not the same as what could happen) </w:t>
      </w:r>
    </w:p>
    <w:p w14:paraId="2B29FEFE" w14:textId="6FBE8D17" w:rsidR="005104EC" w:rsidRPr="00965086" w:rsidRDefault="00A8601D" w:rsidP="0086760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</w:pPr>
      <w:r w:rsidRPr="00965086">
        <w:t>O</w:t>
      </w:r>
      <w:r w:rsidR="005104EC" w:rsidRPr="00965086">
        <w:t>ptimism bias / not considering full range of scenarios (e.g. only considering / developing those which go in one direction)</w:t>
      </w:r>
    </w:p>
    <w:p w14:paraId="0528240E" w14:textId="7D81C21B" w:rsidR="005104EC" w:rsidRPr="00965086" w:rsidRDefault="00A8601D" w:rsidP="005E37E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</w:pPr>
      <w:r w:rsidRPr="00965086">
        <w:t>A</w:t>
      </w:r>
      <w:r w:rsidR="005104EC" w:rsidRPr="00965086">
        <w:t>ssuming linearity in systems / not incorporating feedback</w:t>
      </w:r>
      <w:r w:rsidR="000A3904" w:rsidRPr="00965086">
        <w:t xml:space="preserve"> mechanisms</w:t>
      </w:r>
    </w:p>
    <w:p w14:paraId="6741D848" w14:textId="77BE8A69" w:rsidR="00AC3899" w:rsidRPr="00965086" w:rsidRDefault="00A8601D" w:rsidP="00F43EE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90"/>
        <w:jc w:val="both"/>
      </w:pPr>
      <w:r w:rsidRPr="00965086">
        <w:t>U</w:t>
      </w:r>
      <w:r w:rsidR="00AC3899" w:rsidRPr="00965086">
        <w:t xml:space="preserve">sing models that are ill-suited </w:t>
      </w:r>
      <w:r w:rsidR="000A3904" w:rsidRPr="00965086">
        <w:t xml:space="preserve">just </w:t>
      </w:r>
      <w:r w:rsidR="00AC3899" w:rsidRPr="00965086">
        <w:t>because they are available/well known</w:t>
      </w:r>
    </w:p>
    <w:p w14:paraId="6FFBCF07" w14:textId="77777777" w:rsidR="005104EC" w:rsidRPr="00A8601D" w:rsidRDefault="005104EC"/>
    <w:sectPr w:rsidR="005104EC" w:rsidRPr="00A86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96F02" w16cex:dateUtc="2020-07-27T19:19:00Z"/>
  <w16cex:commentExtensible w16cex:durableId="22DCD905" w16cex:dateUtc="2020-08-11T15:44:00Z"/>
  <w16cex:commentExtensible w16cex:durableId="22C9713A" w16cex:dateUtc="2020-07-27T19:28:00Z"/>
  <w16cex:commentExtensible w16cex:durableId="22DCDB95" w16cex:dateUtc="2020-08-11T15:55:00Z"/>
  <w16cex:commentExtensible w16cex:durableId="22DCDCBE" w16cex:dateUtc="2020-08-11T16:00:00Z"/>
  <w16cex:commentExtensible w16cex:durableId="22DCE03F" w16cex:dateUtc="2020-08-11T16:15:00Z"/>
  <w16cex:commentExtensible w16cex:durableId="22C97775" w16cex:dateUtc="2020-07-27T19:55:00Z"/>
  <w16cex:commentExtensible w16cex:durableId="22C97359" w16cex:dateUtc="2020-07-27T19:38:00Z"/>
  <w16cex:commentExtensible w16cex:durableId="22DCDEDB" w16cex:dateUtc="2020-08-11T16:09:00Z"/>
  <w16cex:commentExtensible w16cex:durableId="22C972C1" w16cex:dateUtc="2020-07-27T19:35:00Z"/>
  <w16cex:commentExtensible w16cex:durableId="22C976EA" w16cex:dateUtc="2020-07-27T19:53:00Z"/>
  <w16cex:commentExtensible w16cex:durableId="22C976C6" w16cex:dateUtc="2020-07-27T19:52:00Z"/>
  <w16cex:commentExtensible w16cex:durableId="22DCDFBC" w16cex:dateUtc="2020-08-11T16:13:00Z"/>
  <w16cex:commentExtensible w16cex:durableId="22DCDFFE" w16cex:dateUtc="2020-08-11T16:14:00Z"/>
  <w16cex:commentExtensible w16cex:durableId="22C97756" w16cex:dateUtc="2020-07-27T19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05C8B" w14:textId="77777777" w:rsidR="006F652C" w:rsidRDefault="006F652C" w:rsidP="00745EEF">
      <w:pPr>
        <w:spacing w:after="0" w:line="240" w:lineRule="auto"/>
      </w:pPr>
      <w:r>
        <w:separator/>
      </w:r>
    </w:p>
  </w:endnote>
  <w:endnote w:type="continuationSeparator" w:id="0">
    <w:p w14:paraId="12C38FA3" w14:textId="77777777" w:rsidR="006F652C" w:rsidRDefault="006F652C" w:rsidP="0074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38B6E" w14:textId="77777777" w:rsidR="001F6AFF" w:rsidRDefault="001F6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4401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6E5A8" w14:textId="7AD6081D" w:rsidR="00745EEF" w:rsidRDefault="00745E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3D6C4" w14:textId="77777777" w:rsidR="00745EEF" w:rsidRDefault="00745E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3EDED" w14:textId="77777777" w:rsidR="001F6AFF" w:rsidRDefault="001F6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0DBBA" w14:textId="77777777" w:rsidR="006F652C" w:rsidRDefault="006F652C" w:rsidP="00745EEF">
      <w:pPr>
        <w:spacing w:after="0" w:line="240" w:lineRule="auto"/>
      </w:pPr>
      <w:r>
        <w:separator/>
      </w:r>
    </w:p>
  </w:footnote>
  <w:footnote w:type="continuationSeparator" w:id="0">
    <w:p w14:paraId="452AE98C" w14:textId="77777777" w:rsidR="006F652C" w:rsidRDefault="006F652C" w:rsidP="00745EEF">
      <w:pPr>
        <w:spacing w:after="0" w:line="240" w:lineRule="auto"/>
      </w:pPr>
      <w:r>
        <w:continuationSeparator/>
      </w:r>
    </w:p>
  </w:footnote>
  <w:footnote w:id="1">
    <w:p w14:paraId="1B1C88E1" w14:textId="684AFDE2" w:rsidR="0012708E" w:rsidRPr="0012708E" w:rsidRDefault="0012708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2708E">
        <w:t>https://www.mfe.govt.nz/publications/climate-change/coastal-hazards-and-climate-change-guidance-local-government</w:t>
      </w:r>
    </w:p>
  </w:footnote>
  <w:footnote w:id="2">
    <w:p w14:paraId="064EADC7" w14:textId="1CBBB6FB" w:rsidR="006F5898" w:rsidRPr="006F5898" w:rsidRDefault="006F589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F5898">
        <w:t>http://files.resources.ca.gov/docs/climate/ab2800/AB2800_ES_FINAL.pdf</w:t>
      </w:r>
    </w:p>
  </w:footnote>
  <w:footnote w:id="3">
    <w:p w14:paraId="2ACA3EA9" w14:textId="15FBD229" w:rsidR="00884A8C" w:rsidRPr="00884A8C" w:rsidRDefault="00884A8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84A8C">
        <w:t>https://www.hydropower.org/publications/hydropower-sector-climate-resilience-guide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52CA" w14:textId="77777777" w:rsidR="001F6AFF" w:rsidRDefault="001F6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346DD" w14:textId="77777777" w:rsidR="001F6AFF" w:rsidRDefault="001F6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E2260" w14:textId="77777777" w:rsidR="001F6AFF" w:rsidRDefault="001F6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42D03"/>
    <w:multiLevelType w:val="hybridMultilevel"/>
    <w:tmpl w:val="35683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22A3C"/>
    <w:multiLevelType w:val="hybridMultilevel"/>
    <w:tmpl w:val="348AFA1C"/>
    <w:lvl w:ilvl="0" w:tplc="BF469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50876"/>
    <w:multiLevelType w:val="hybridMultilevel"/>
    <w:tmpl w:val="75C43F3C"/>
    <w:lvl w:ilvl="0" w:tplc="1409000F">
      <w:start w:val="1"/>
      <w:numFmt w:val="decimal"/>
      <w:lvlText w:val="%1."/>
      <w:lvlJc w:val="left"/>
      <w:pPr>
        <w:ind w:left="1830" w:hanging="390"/>
      </w:pPr>
      <w:rPr>
        <w:rFonts w:hint="default"/>
        <w:color w:val="1F497D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B92343"/>
    <w:multiLevelType w:val="hybridMultilevel"/>
    <w:tmpl w:val="A3D6B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665C2"/>
    <w:multiLevelType w:val="hybridMultilevel"/>
    <w:tmpl w:val="AC689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80133"/>
    <w:multiLevelType w:val="hybridMultilevel"/>
    <w:tmpl w:val="4B625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21D1C"/>
    <w:multiLevelType w:val="hybridMultilevel"/>
    <w:tmpl w:val="9D0EBA9E"/>
    <w:lvl w:ilvl="0" w:tplc="3B5A6024">
      <w:start w:val="1"/>
      <w:numFmt w:val="lowerLetter"/>
      <w:lvlText w:val="%1."/>
      <w:lvlJc w:val="left"/>
      <w:pPr>
        <w:ind w:left="1830" w:hanging="390"/>
      </w:pPr>
      <w:rPr>
        <w:rFonts w:hint="default"/>
        <w:color w:val="1F497D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8F514C"/>
    <w:multiLevelType w:val="hybridMultilevel"/>
    <w:tmpl w:val="0FF21D02"/>
    <w:lvl w:ilvl="0" w:tplc="1409000F">
      <w:start w:val="1"/>
      <w:numFmt w:val="decimal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EC"/>
    <w:rsid w:val="0001069C"/>
    <w:rsid w:val="00024FDC"/>
    <w:rsid w:val="0003468C"/>
    <w:rsid w:val="00036BD9"/>
    <w:rsid w:val="000433D6"/>
    <w:rsid w:val="00056EAB"/>
    <w:rsid w:val="000617E9"/>
    <w:rsid w:val="00064727"/>
    <w:rsid w:val="0006557B"/>
    <w:rsid w:val="000704E8"/>
    <w:rsid w:val="00077F2E"/>
    <w:rsid w:val="000945E9"/>
    <w:rsid w:val="000A3904"/>
    <w:rsid w:val="000B65D9"/>
    <w:rsid w:val="000F6CE6"/>
    <w:rsid w:val="001022EB"/>
    <w:rsid w:val="00111B3F"/>
    <w:rsid w:val="0012708E"/>
    <w:rsid w:val="00140F21"/>
    <w:rsid w:val="001435FF"/>
    <w:rsid w:val="00144CD8"/>
    <w:rsid w:val="00151E57"/>
    <w:rsid w:val="001557D0"/>
    <w:rsid w:val="00156494"/>
    <w:rsid w:val="00160C1F"/>
    <w:rsid w:val="0016101B"/>
    <w:rsid w:val="00162452"/>
    <w:rsid w:val="00176527"/>
    <w:rsid w:val="00192A61"/>
    <w:rsid w:val="001A4FA2"/>
    <w:rsid w:val="001E3407"/>
    <w:rsid w:val="001F6AFF"/>
    <w:rsid w:val="002028C5"/>
    <w:rsid w:val="00213814"/>
    <w:rsid w:val="0021423F"/>
    <w:rsid w:val="00217F4C"/>
    <w:rsid w:val="00224F4A"/>
    <w:rsid w:val="00225464"/>
    <w:rsid w:val="00225575"/>
    <w:rsid w:val="00226481"/>
    <w:rsid w:val="0023250B"/>
    <w:rsid w:val="002332FE"/>
    <w:rsid w:val="00244D71"/>
    <w:rsid w:val="00297401"/>
    <w:rsid w:val="002A2B5E"/>
    <w:rsid w:val="002A6EEA"/>
    <w:rsid w:val="002B6FF8"/>
    <w:rsid w:val="002D1CDD"/>
    <w:rsid w:val="002E0A5A"/>
    <w:rsid w:val="002E3F54"/>
    <w:rsid w:val="002E43D7"/>
    <w:rsid w:val="002F4946"/>
    <w:rsid w:val="0030064A"/>
    <w:rsid w:val="0030151E"/>
    <w:rsid w:val="00312FCA"/>
    <w:rsid w:val="00320E4E"/>
    <w:rsid w:val="00337B3B"/>
    <w:rsid w:val="00337EAD"/>
    <w:rsid w:val="00341227"/>
    <w:rsid w:val="0035066B"/>
    <w:rsid w:val="0035707B"/>
    <w:rsid w:val="00390821"/>
    <w:rsid w:val="00395977"/>
    <w:rsid w:val="003A022B"/>
    <w:rsid w:val="003B3228"/>
    <w:rsid w:val="003C3C5D"/>
    <w:rsid w:val="003C6C59"/>
    <w:rsid w:val="003C7AC8"/>
    <w:rsid w:val="003D40E7"/>
    <w:rsid w:val="003D60FE"/>
    <w:rsid w:val="003E257D"/>
    <w:rsid w:val="003F162D"/>
    <w:rsid w:val="0040005E"/>
    <w:rsid w:val="00412C18"/>
    <w:rsid w:val="00422DB6"/>
    <w:rsid w:val="00441536"/>
    <w:rsid w:val="00464B5F"/>
    <w:rsid w:val="00466558"/>
    <w:rsid w:val="004669B8"/>
    <w:rsid w:val="0048406E"/>
    <w:rsid w:val="00486384"/>
    <w:rsid w:val="00494435"/>
    <w:rsid w:val="004A12E6"/>
    <w:rsid w:val="004B2524"/>
    <w:rsid w:val="004B33E8"/>
    <w:rsid w:val="004B5F9D"/>
    <w:rsid w:val="004D1B4B"/>
    <w:rsid w:val="004D4B88"/>
    <w:rsid w:val="004E6FCC"/>
    <w:rsid w:val="00500C8D"/>
    <w:rsid w:val="0050186D"/>
    <w:rsid w:val="00502B60"/>
    <w:rsid w:val="00502E46"/>
    <w:rsid w:val="005104EC"/>
    <w:rsid w:val="00524BC8"/>
    <w:rsid w:val="00527CC8"/>
    <w:rsid w:val="005365B4"/>
    <w:rsid w:val="00542638"/>
    <w:rsid w:val="00543892"/>
    <w:rsid w:val="00545E56"/>
    <w:rsid w:val="00557DA4"/>
    <w:rsid w:val="005702EC"/>
    <w:rsid w:val="00571A52"/>
    <w:rsid w:val="00577B1C"/>
    <w:rsid w:val="005915DD"/>
    <w:rsid w:val="005A2547"/>
    <w:rsid w:val="005B787F"/>
    <w:rsid w:val="005C5A2C"/>
    <w:rsid w:val="005D0D0A"/>
    <w:rsid w:val="005D26D5"/>
    <w:rsid w:val="005E690A"/>
    <w:rsid w:val="005E7CE8"/>
    <w:rsid w:val="005F04C2"/>
    <w:rsid w:val="005F292C"/>
    <w:rsid w:val="006231DD"/>
    <w:rsid w:val="006419FD"/>
    <w:rsid w:val="00654689"/>
    <w:rsid w:val="00665A52"/>
    <w:rsid w:val="00666739"/>
    <w:rsid w:val="00670BDD"/>
    <w:rsid w:val="0067600F"/>
    <w:rsid w:val="00697AE8"/>
    <w:rsid w:val="006B31A9"/>
    <w:rsid w:val="006F5898"/>
    <w:rsid w:val="006F652C"/>
    <w:rsid w:val="00714672"/>
    <w:rsid w:val="00714F28"/>
    <w:rsid w:val="00725D5E"/>
    <w:rsid w:val="00745EEF"/>
    <w:rsid w:val="00755F79"/>
    <w:rsid w:val="007705F8"/>
    <w:rsid w:val="007853FA"/>
    <w:rsid w:val="00787DC4"/>
    <w:rsid w:val="00796ECB"/>
    <w:rsid w:val="007A4150"/>
    <w:rsid w:val="007B55CC"/>
    <w:rsid w:val="007B7D15"/>
    <w:rsid w:val="007C04CD"/>
    <w:rsid w:val="007C065E"/>
    <w:rsid w:val="007E3A30"/>
    <w:rsid w:val="007F1846"/>
    <w:rsid w:val="008018C3"/>
    <w:rsid w:val="008029B7"/>
    <w:rsid w:val="008058E4"/>
    <w:rsid w:val="008201AE"/>
    <w:rsid w:val="008330D6"/>
    <w:rsid w:val="00833E16"/>
    <w:rsid w:val="008462F3"/>
    <w:rsid w:val="008531D9"/>
    <w:rsid w:val="0085358C"/>
    <w:rsid w:val="00864799"/>
    <w:rsid w:val="0088084A"/>
    <w:rsid w:val="00882465"/>
    <w:rsid w:val="00884A8C"/>
    <w:rsid w:val="00890C03"/>
    <w:rsid w:val="008C39D6"/>
    <w:rsid w:val="008D0FA7"/>
    <w:rsid w:val="008E7402"/>
    <w:rsid w:val="008F08B9"/>
    <w:rsid w:val="008F3CFA"/>
    <w:rsid w:val="009022D2"/>
    <w:rsid w:val="00910616"/>
    <w:rsid w:val="0091446A"/>
    <w:rsid w:val="00916479"/>
    <w:rsid w:val="00943D78"/>
    <w:rsid w:val="00944AFF"/>
    <w:rsid w:val="00945F4E"/>
    <w:rsid w:val="0094698D"/>
    <w:rsid w:val="00957121"/>
    <w:rsid w:val="00961A75"/>
    <w:rsid w:val="00965086"/>
    <w:rsid w:val="0096533C"/>
    <w:rsid w:val="00977566"/>
    <w:rsid w:val="00983906"/>
    <w:rsid w:val="009A1035"/>
    <w:rsid w:val="009B0D09"/>
    <w:rsid w:val="009B7A75"/>
    <w:rsid w:val="009C0609"/>
    <w:rsid w:val="009C6A04"/>
    <w:rsid w:val="009D0A34"/>
    <w:rsid w:val="009D6119"/>
    <w:rsid w:val="00A21649"/>
    <w:rsid w:val="00A21A2F"/>
    <w:rsid w:val="00A258EF"/>
    <w:rsid w:val="00A25FAF"/>
    <w:rsid w:val="00A36C68"/>
    <w:rsid w:val="00A6374A"/>
    <w:rsid w:val="00A63C78"/>
    <w:rsid w:val="00A66B40"/>
    <w:rsid w:val="00A8080A"/>
    <w:rsid w:val="00A85B21"/>
    <w:rsid w:val="00A8601D"/>
    <w:rsid w:val="00A96FDA"/>
    <w:rsid w:val="00A97520"/>
    <w:rsid w:val="00A9766A"/>
    <w:rsid w:val="00AA4359"/>
    <w:rsid w:val="00AB6892"/>
    <w:rsid w:val="00AC1A0C"/>
    <w:rsid w:val="00AC3899"/>
    <w:rsid w:val="00AC74E2"/>
    <w:rsid w:val="00AD4061"/>
    <w:rsid w:val="00AD48A2"/>
    <w:rsid w:val="00AE2360"/>
    <w:rsid w:val="00B51D26"/>
    <w:rsid w:val="00B56A1F"/>
    <w:rsid w:val="00B70B63"/>
    <w:rsid w:val="00B75A87"/>
    <w:rsid w:val="00B932D5"/>
    <w:rsid w:val="00BC7FB5"/>
    <w:rsid w:val="00BD2887"/>
    <w:rsid w:val="00BE1C9B"/>
    <w:rsid w:val="00BF04D1"/>
    <w:rsid w:val="00BF0FA9"/>
    <w:rsid w:val="00C01144"/>
    <w:rsid w:val="00C0755B"/>
    <w:rsid w:val="00C27745"/>
    <w:rsid w:val="00C31807"/>
    <w:rsid w:val="00C57809"/>
    <w:rsid w:val="00C63510"/>
    <w:rsid w:val="00C71E72"/>
    <w:rsid w:val="00C76074"/>
    <w:rsid w:val="00C7655A"/>
    <w:rsid w:val="00C97349"/>
    <w:rsid w:val="00CA1A85"/>
    <w:rsid w:val="00CB2E33"/>
    <w:rsid w:val="00CB5D11"/>
    <w:rsid w:val="00CF6598"/>
    <w:rsid w:val="00CF7088"/>
    <w:rsid w:val="00D01EBE"/>
    <w:rsid w:val="00D0201B"/>
    <w:rsid w:val="00D06813"/>
    <w:rsid w:val="00D06F78"/>
    <w:rsid w:val="00D134FE"/>
    <w:rsid w:val="00D50713"/>
    <w:rsid w:val="00D57393"/>
    <w:rsid w:val="00D72091"/>
    <w:rsid w:val="00D769B0"/>
    <w:rsid w:val="00D819E6"/>
    <w:rsid w:val="00D85CCD"/>
    <w:rsid w:val="00DA03FD"/>
    <w:rsid w:val="00DA2774"/>
    <w:rsid w:val="00DA7BD9"/>
    <w:rsid w:val="00DB282E"/>
    <w:rsid w:val="00DB652D"/>
    <w:rsid w:val="00DC593C"/>
    <w:rsid w:val="00DC7691"/>
    <w:rsid w:val="00DC79B9"/>
    <w:rsid w:val="00DD111D"/>
    <w:rsid w:val="00DD4C8A"/>
    <w:rsid w:val="00DE4AE1"/>
    <w:rsid w:val="00E02263"/>
    <w:rsid w:val="00E0303A"/>
    <w:rsid w:val="00E30FB7"/>
    <w:rsid w:val="00E3192C"/>
    <w:rsid w:val="00E55A60"/>
    <w:rsid w:val="00E5645C"/>
    <w:rsid w:val="00E956C9"/>
    <w:rsid w:val="00EA3FB3"/>
    <w:rsid w:val="00EB589E"/>
    <w:rsid w:val="00EB6362"/>
    <w:rsid w:val="00EB6F0C"/>
    <w:rsid w:val="00ED18A1"/>
    <w:rsid w:val="00EE4B40"/>
    <w:rsid w:val="00EF335A"/>
    <w:rsid w:val="00EF6E85"/>
    <w:rsid w:val="00F24092"/>
    <w:rsid w:val="00F33C0C"/>
    <w:rsid w:val="00F44270"/>
    <w:rsid w:val="00F55F5D"/>
    <w:rsid w:val="00F57570"/>
    <w:rsid w:val="00F66EF1"/>
    <w:rsid w:val="00F96926"/>
    <w:rsid w:val="00FA77CB"/>
    <w:rsid w:val="00FB0AE0"/>
    <w:rsid w:val="00FD080D"/>
    <w:rsid w:val="00FD333A"/>
    <w:rsid w:val="00FD3881"/>
    <w:rsid w:val="00FD66B9"/>
    <w:rsid w:val="00FE6845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4D12F"/>
  <w15:docId w15:val="{914BB108-AA57-4737-AA36-5E0AA01C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5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D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1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8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8C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15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EF"/>
  </w:style>
  <w:style w:type="paragraph" w:styleId="Footer">
    <w:name w:val="footer"/>
    <w:basedOn w:val="Normal"/>
    <w:link w:val="FooterChar"/>
    <w:uiPriority w:val="99"/>
    <w:unhideWhenUsed/>
    <w:rsid w:val="0074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EF"/>
  </w:style>
  <w:style w:type="paragraph" w:customStyle="1" w:styleId="Normal0">
    <w:name w:val="Normal_0"/>
    <w:qFormat/>
    <w:rsid w:val="00466558"/>
    <w:pPr>
      <w:spacing w:after="160" w:line="256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665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70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0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08E"/>
    <w:rPr>
      <w:vertAlign w:val="superscript"/>
    </w:rPr>
  </w:style>
  <w:style w:type="paragraph" w:styleId="Revision">
    <w:name w:val="Revision"/>
    <w:hidden/>
    <w:uiPriority w:val="99"/>
    <w:semiHidden/>
    <w:rsid w:val="007C0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EA3DE823DC489E44BF4CD2C2AF9F" ma:contentTypeVersion="15" ma:contentTypeDescription="Create a new document." ma:contentTypeScope="" ma:versionID="5a040a9f31f49f7a03e4314a1c0cb8bc">
  <xsd:schema xmlns:xsd="http://www.w3.org/2001/XMLSchema" xmlns:xs="http://www.w3.org/2001/XMLSchema" xmlns:p="http://schemas.microsoft.com/office/2006/metadata/properties" xmlns:ns1="http://schemas.microsoft.com/sharepoint/v3" xmlns:ns3="543abfbf-1b39-4535-8b1b-c72a4cdaa484" xmlns:ns4="2834bc84-a818-4cb9-8b4d-5179cfe104eb" targetNamespace="http://schemas.microsoft.com/office/2006/metadata/properties" ma:root="true" ma:fieldsID="e3e0ffe4a372784774187fe8aac069d1" ns1:_="" ns3:_="" ns4:_="">
    <xsd:import namespace="http://schemas.microsoft.com/sharepoint/v3"/>
    <xsd:import namespace="543abfbf-1b39-4535-8b1b-c72a4cdaa484"/>
    <xsd:import namespace="2834bc84-a818-4cb9-8b4d-5179cfe104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bfbf-1b39-4535-8b1b-c72a4cdaa4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4bc84-a818-4cb9-8b4d-5179cfe10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DA28-27CA-4285-B468-2874AA777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3abfbf-1b39-4535-8b1b-c72a4cdaa484"/>
    <ds:schemaRef ds:uri="2834bc84-a818-4cb9-8b4d-5179cfe10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746F5-BA2E-440E-9F7E-DB24247E1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E1693-C32D-42E5-9EA4-0702CE4693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09257A-90DB-4101-BE5B-88AA59D1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Anglian Water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 User</dc:creator>
  <cp:lastModifiedBy>Julie Rozenberg</cp:lastModifiedBy>
  <cp:revision>91</cp:revision>
  <dcterms:created xsi:type="dcterms:W3CDTF">2020-11-10T00:47:00Z</dcterms:created>
  <dcterms:modified xsi:type="dcterms:W3CDTF">2020-11-12T20:08:00Z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0x0101007787EA3DE823DC489E44BF4CD2C2AF9F</vt:lpwstr>
  </property>
</Properties>
</file>